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DE313" w14:textId="77777777" w:rsidR="00614E69" w:rsidRPr="00BD5B2E" w:rsidRDefault="00614E69">
      <w:pPr>
        <w:spacing w:before="9" w:after="9" w:line="240" w:lineRule="exact"/>
        <w:rPr>
          <w:sz w:val="19"/>
          <w:szCs w:val="19"/>
        </w:rPr>
      </w:pPr>
      <w:bookmarkStart w:id="0" w:name="_GoBack"/>
      <w:bookmarkEnd w:id="0"/>
    </w:p>
    <w:p w14:paraId="00CD08A1" w14:textId="77777777" w:rsidR="00614E69" w:rsidRPr="00BD5B2E" w:rsidRDefault="00F87329">
      <w:pPr>
        <w:pStyle w:val="BodyText"/>
        <w:shd w:val="clear" w:color="auto" w:fill="auto"/>
        <w:jc w:val="center"/>
      </w:pPr>
      <w:r>
        <w:rPr>
          <w:b/>
          <w:bCs/>
        </w:rPr>
        <w:t>Komentari na predložene izmene i dopune Krivičnog zakonika</w:t>
      </w:r>
      <w:r w:rsidR="00CC3AB4">
        <w:rPr>
          <w:b/>
          <w:bCs/>
        </w:rPr>
        <w:t xml:space="preserve"> Srbije</w:t>
      </w:r>
    </w:p>
    <w:p w14:paraId="54D0A8DB" w14:textId="77777777" w:rsidR="00614E69" w:rsidRPr="00BD5B2E" w:rsidRDefault="00F87329">
      <w:pPr>
        <w:pStyle w:val="BodyText"/>
        <w:shd w:val="clear" w:color="auto" w:fill="auto"/>
        <w:jc w:val="center"/>
      </w:pPr>
      <w:r>
        <w:rPr>
          <w:b/>
          <w:bCs/>
        </w:rPr>
        <w:t>ČLAN</w:t>
      </w:r>
      <w:r w:rsidR="00AC4CA0" w:rsidRPr="00BD5B2E">
        <w:rPr>
          <w:b/>
          <w:bCs/>
        </w:rPr>
        <w:t xml:space="preserve"> 19</w:t>
      </w:r>
    </w:p>
    <w:p w14:paraId="63EAC561" w14:textId="77777777" w:rsidR="00614E69" w:rsidRPr="00BD5B2E" w:rsidRDefault="00F87329">
      <w:pPr>
        <w:pStyle w:val="BodyText"/>
        <w:shd w:val="clear" w:color="auto" w:fill="auto"/>
        <w:jc w:val="center"/>
      </w:pPr>
      <w:r>
        <w:rPr>
          <w:b/>
          <w:bCs/>
        </w:rPr>
        <w:t>novembar</w:t>
      </w:r>
      <w:r w:rsidR="00AC4CA0" w:rsidRPr="00BD5B2E">
        <w:rPr>
          <w:b/>
          <w:bCs/>
        </w:rPr>
        <w:t xml:space="preserve"> 2021</w:t>
      </w:r>
      <w:r>
        <w:rPr>
          <w:b/>
          <w:bCs/>
        </w:rPr>
        <w:t>. godine</w:t>
      </w:r>
    </w:p>
    <w:p w14:paraId="40A30E27" w14:textId="77777777" w:rsidR="00614E69" w:rsidRPr="00BD5B2E" w:rsidRDefault="00DD26DA" w:rsidP="00C60BE2">
      <w:pPr>
        <w:pStyle w:val="BodyText"/>
        <w:numPr>
          <w:ilvl w:val="0"/>
          <w:numId w:val="1"/>
        </w:numPr>
        <w:shd w:val="clear" w:color="auto" w:fill="auto"/>
        <w:tabs>
          <w:tab w:val="left" w:pos="405"/>
        </w:tabs>
        <w:ind w:left="442" w:hanging="442"/>
        <w:jc w:val="both"/>
      </w:pPr>
      <w:r>
        <w:rPr>
          <w:color w:val="000000"/>
        </w:rPr>
        <w:t>ČLAN</w:t>
      </w:r>
      <w:r w:rsidR="00AC4CA0" w:rsidRPr="00BD5B2E">
        <w:rPr>
          <w:color w:val="000000"/>
        </w:rPr>
        <w:t xml:space="preserve"> 19 </w:t>
      </w:r>
      <w:r>
        <w:rPr>
          <w:color w:val="000000"/>
        </w:rPr>
        <w:t>(</w:t>
      </w:r>
      <w:r w:rsidRPr="007D6C7C">
        <w:rPr>
          <w:i/>
          <w:color w:val="000000"/>
        </w:rPr>
        <w:t>engl</w:t>
      </w:r>
      <w:r>
        <w:rPr>
          <w:color w:val="000000"/>
        </w:rPr>
        <w:t>. ARTICLE 19) je međunarodna organizacija</w:t>
      </w:r>
      <w:r w:rsidR="00C60BE2">
        <w:rPr>
          <w:color w:val="000000"/>
        </w:rPr>
        <w:t xml:space="preserve"> za ljudska prava i aktivna je u celom svetu promovišući</w:t>
      </w:r>
      <w:r w:rsidR="00066AC9">
        <w:rPr>
          <w:color w:val="000000"/>
        </w:rPr>
        <w:t xml:space="preserve"> i štiteći</w:t>
      </w:r>
      <w:r w:rsidR="00C60BE2">
        <w:rPr>
          <w:color w:val="000000"/>
        </w:rPr>
        <w:t xml:space="preserve"> </w:t>
      </w:r>
      <w:r>
        <w:rPr>
          <w:color w:val="000000"/>
        </w:rPr>
        <w:t xml:space="preserve">pravo na slobodu izražavanja i informisanja </w:t>
      </w:r>
      <w:r w:rsidR="00AC4CA0" w:rsidRPr="00BD5B2E">
        <w:rPr>
          <w:color w:val="000000"/>
        </w:rPr>
        <w:t>(</w:t>
      </w:r>
      <w:r w:rsidR="00C60BE2">
        <w:rPr>
          <w:color w:val="000000"/>
        </w:rPr>
        <w:t>sloboda</w:t>
      </w:r>
      <w:r>
        <w:rPr>
          <w:color w:val="000000"/>
        </w:rPr>
        <w:t xml:space="preserve"> izražavanja</w:t>
      </w:r>
      <w:r w:rsidR="00AC4CA0" w:rsidRPr="00BD5B2E">
        <w:rPr>
          <w:color w:val="000000"/>
        </w:rPr>
        <w:t xml:space="preserve">). </w:t>
      </w:r>
      <w:r w:rsidR="007D6C7C">
        <w:rPr>
          <w:color w:val="000000"/>
        </w:rPr>
        <w:t>Organizacija ima međunarodno sedište u Londonu i sedam regionalnih kancelarija, uključujući i regionalne programe u Evropi i Centralnoj Aziji</w:t>
      </w:r>
      <w:r w:rsidR="0075420A">
        <w:rPr>
          <w:color w:val="000000"/>
        </w:rPr>
        <w:t>.</w:t>
      </w:r>
      <w:r w:rsidR="00AC4CA0" w:rsidRPr="00BD5B2E">
        <w:rPr>
          <w:color w:val="000000"/>
        </w:rPr>
        <w:t xml:space="preserve"> </w:t>
      </w:r>
      <w:r w:rsidR="0075420A">
        <w:rPr>
          <w:color w:val="000000"/>
        </w:rPr>
        <w:t>Organizacija</w:t>
      </w:r>
      <w:r w:rsidR="00AC4CA0" w:rsidRPr="00BD5B2E">
        <w:rPr>
          <w:color w:val="000000"/>
        </w:rPr>
        <w:t xml:space="preserve"> </w:t>
      </w:r>
      <w:r w:rsidR="007D6C7C">
        <w:rPr>
          <w:color w:val="000000"/>
        </w:rPr>
        <w:t xml:space="preserve">prati </w:t>
      </w:r>
      <w:r w:rsidR="0075420A">
        <w:rPr>
          <w:color w:val="000000"/>
        </w:rPr>
        <w:t>pretnje</w:t>
      </w:r>
      <w:r w:rsidR="007D6C7C">
        <w:rPr>
          <w:color w:val="000000"/>
        </w:rPr>
        <w:t xml:space="preserve"> </w:t>
      </w:r>
      <w:r w:rsidR="00C1162C">
        <w:rPr>
          <w:color w:val="000000"/>
        </w:rPr>
        <w:t xml:space="preserve">slobodi </w:t>
      </w:r>
      <w:r w:rsidR="0088716A">
        <w:rPr>
          <w:color w:val="000000"/>
        </w:rPr>
        <w:t>izražavanja</w:t>
      </w:r>
      <w:r w:rsidR="0075420A">
        <w:rPr>
          <w:color w:val="000000"/>
        </w:rPr>
        <w:t xml:space="preserve"> u različitim regionima, razvija dugoročne strategije za rešavanje ovih problem i zagovara sprovođenje najviših standarda slobode izražavanja na nacionalnom </w:t>
      </w:r>
      <w:r w:rsidR="00C1162C">
        <w:rPr>
          <w:color w:val="000000"/>
        </w:rPr>
        <w:t xml:space="preserve">i svetskom </w:t>
      </w:r>
      <w:r w:rsidR="0075420A">
        <w:rPr>
          <w:color w:val="000000"/>
        </w:rPr>
        <w:t>nivou</w:t>
      </w:r>
      <w:r w:rsidR="00AC4CA0" w:rsidRPr="00BD5B2E">
        <w:rPr>
          <w:color w:val="000000"/>
        </w:rPr>
        <w:t xml:space="preserve">. </w:t>
      </w:r>
      <w:r w:rsidR="00AC4CA0" w:rsidRPr="0075420A">
        <w:rPr>
          <w:i/>
          <w:color w:val="000000"/>
        </w:rPr>
        <w:t>ARTICLE 19</w:t>
      </w:r>
      <w:r w:rsidR="00AC4CA0" w:rsidRPr="00BD5B2E">
        <w:rPr>
          <w:color w:val="000000"/>
        </w:rPr>
        <w:t xml:space="preserve"> </w:t>
      </w:r>
      <w:r w:rsidR="0075420A">
        <w:rPr>
          <w:color w:val="000000"/>
        </w:rPr>
        <w:t>ima veliko iskustvo u oblasti bezbednosti novinara. Od 2000. godine</w:t>
      </w:r>
      <w:r w:rsidR="006B23B7">
        <w:rPr>
          <w:color w:val="000000"/>
        </w:rPr>
        <w:t>, organizacija</w:t>
      </w:r>
      <w:r w:rsidR="0075420A">
        <w:rPr>
          <w:color w:val="000000"/>
        </w:rPr>
        <w:t xml:space="preserve"> </w:t>
      </w:r>
      <w:r w:rsidR="00AC4CA0" w:rsidRPr="006B23B7">
        <w:rPr>
          <w:i/>
        </w:rPr>
        <w:t>ARTICLE 19</w:t>
      </w:r>
      <w:r w:rsidR="00AC4CA0" w:rsidRPr="00BD5B2E">
        <w:t xml:space="preserve"> </w:t>
      </w:r>
      <w:r w:rsidR="006B23B7">
        <w:t xml:space="preserve">je aktivna u </w:t>
      </w:r>
      <w:r w:rsidR="008F1625">
        <w:t>preciziranju</w:t>
      </w:r>
      <w:r w:rsidR="006B23B7">
        <w:t xml:space="preserve"> međunarodnih standarda u zaštiti novinara i zagovaranj</w:t>
      </w:r>
      <w:r w:rsidR="008F1625">
        <w:t>u</w:t>
      </w:r>
      <w:r w:rsidR="006B23B7">
        <w:t xml:space="preserve"> poboljšanj</w:t>
      </w:r>
      <w:r w:rsidR="00C1162C">
        <w:t>a</w:t>
      </w:r>
      <w:r w:rsidR="006B23B7">
        <w:t xml:space="preserve"> standarda </w:t>
      </w:r>
      <w:r w:rsidR="00C1162C">
        <w:t>u rešavanju</w:t>
      </w:r>
      <w:r w:rsidR="006B23B7">
        <w:t xml:space="preserve"> pitanj</w:t>
      </w:r>
      <w:r w:rsidR="00C1162C">
        <w:t xml:space="preserve">a </w:t>
      </w:r>
      <w:r w:rsidR="006B23B7">
        <w:t xml:space="preserve">nekažnjivosti </w:t>
      </w:r>
      <w:r w:rsidR="008F1625">
        <w:t xml:space="preserve">pred </w:t>
      </w:r>
      <w:r w:rsidR="006B23B7">
        <w:t xml:space="preserve">Ujedinjenim nacijama i </w:t>
      </w:r>
      <w:r w:rsidR="008F1625">
        <w:t>nacionalnim organima</w:t>
      </w:r>
      <w:r w:rsidR="00AC4CA0" w:rsidRPr="00BD5B2E">
        <w:t xml:space="preserve">. </w:t>
      </w:r>
      <w:r w:rsidR="0002090D">
        <w:t xml:space="preserve">Stručnost u oblasti prava ove organizacije je doprinela razvoju </w:t>
      </w:r>
      <w:r w:rsidR="00BD69D4">
        <w:t>napredne</w:t>
      </w:r>
      <w:r w:rsidR="0002090D">
        <w:t xml:space="preserve"> sudske prakse </w:t>
      </w:r>
      <w:r w:rsidR="00BD69D4">
        <w:t>u regionalnim i nacionalnim sudovima u oblasti zaštite novinara i rešavanja pitanja nekažnj</w:t>
      </w:r>
      <w:r w:rsidR="00501275">
        <w:t>ivosti</w:t>
      </w:r>
      <w:r w:rsidR="00BD69D4">
        <w:t>, naročito u slučajevima pred Evropskim sudom za ljudska prava, Interamerički</w:t>
      </w:r>
      <w:r w:rsidR="00D27FC8">
        <w:t>m</w:t>
      </w:r>
      <w:r w:rsidR="00BD69D4" w:rsidRPr="00BD69D4">
        <w:t xml:space="preserve"> sud</w:t>
      </w:r>
      <w:r w:rsidR="00D27FC8">
        <w:t>om</w:t>
      </w:r>
      <w:r w:rsidR="00BD69D4" w:rsidRPr="00BD69D4">
        <w:t xml:space="preserve"> za ljudska prava </w:t>
      </w:r>
      <w:r w:rsidR="00BD69D4">
        <w:t xml:space="preserve">i </w:t>
      </w:r>
      <w:r w:rsidR="00BD69D4" w:rsidRPr="00BD69D4">
        <w:t>Afričk</w:t>
      </w:r>
      <w:r w:rsidR="00747CE5">
        <w:t>om</w:t>
      </w:r>
      <w:r w:rsidR="00BD69D4" w:rsidRPr="00BD69D4">
        <w:t xml:space="preserve"> komisij</w:t>
      </w:r>
      <w:r w:rsidR="00747CE5">
        <w:t>om</w:t>
      </w:r>
      <w:r w:rsidR="00BD69D4" w:rsidRPr="00BD69D4">
        <w:t xml:space="preserve"> za ljudska prava i prava naroda</w:t>
      </w:r>
      <w:r w:rsidR="00AC4CA0" w:rsidRPr="00BD5B2E">
        <w:t xml:space="preserve">. </w:t>
      </w:r>
      <w:r w:rsidR="00747CE5">
        <w:rPr>
          <w:color w:val="000000"/>
        </w:rPr>
        <w:t xml:space="preserve">Samim tim, smatramo da smo pozvani </w:t>
      </w:r>
      <w:r w:rsidR="00501275">
        <w:rPr>
          <w:color w:val="000000"/>
        </w:rPr>
        <w:t xml:space="preserve">da komentarišemo </w:t>
      </w:r>
      <w:r w:rsidR="00CF3CF8">
        <w:rPr>
          <w:color w:val="000000"/>
        </w:rPr>
        <w:t xml:space="preserve">predloge za izmenu zakonskih propisa radi rešavanja </w:t>
      </w:r>
      <w:r w:rsidR="0010462F">
        <w:rPr>
          <w:color w:val="000000"/>
        </w:rPr>
        <w:t>problema bezbednosti</w:t>
      </w:r>
      <w:r w:rsidR="00CF3CF8">
        <w:rPr>
          <w:color w:val="000000"/>
        </w:rPr>
        <w:t xml:space="preserve"> novinara u Srbiji</w:t>
      </w:r>
      <w:r w:rsidR="00AC4CA0" w:rsidRPr="00BD5B2E">
        <w:rPr>
          <w:color w:val="000000"/>
        </w:rPr>
        <w:t>.</w:t>
      </w:r>
    </w:p>
    <w:p w14:paraId="4A62C7EF" w14:textId="77777777" w:rsidR="00614E69" w:rsidRPr="00BD5B2E" w:rsidRDefault="000212D7" w:rsidP="00843449">
      <w:pPr>
        <w:pStyle w:val="BodyText"/>
        <w:numPr>
          <w:ilvl w:val="0"/>
          <w:numId w:val="1"/>
        </w:numPr>
        <w:shd w:val="clear" w:color="auto" w:fill="auto"/>
        <w:tabs>
          <w:tab w:val="left" w:pos="405"/>
        </w:tabs>
        <w:ind w:left="440" w:hanging="440"/>
        <w:jc w:val="both"/>
      </w:pPr>
      <w:r>
        <w:t xml:space="preserve">Organizacija je došla do saznanja da se radi na izmenama i dopunama različitih vrsta krivičnih dela jer sarađujemo sa našim partnerima u Srbiji u okviru konzorcijuma </w:t>
      </w:r>
      <w:r w:rsidRPr="000212D7">
        <w:t>Sloboda medija brz odgovor (MFRR)</w:t>
      </w:r>
      <w:r w:rsidR="00AC4CA0" w:rsidRPr="00BD5B2E">
        <w:t>.</w:t>
      </w:r>
      <w:r w:rsidR="00AC4CA0" w:rsidRPr="00BD5B2E">
        <w:rPr>
          <w:vertAlign w:val="superscript"/>
        </w:rPr>
        <w:footnoteReference w:id="1"/>
      </w:r>
      <w:r w:rsidR="00AC4CA0" w:rsidRPr="00BD5B2E">
        <w:t xml:space="preserve"> </w:t>
      </w:r>
      <w:r w:rsidR="00843449">
        <w:t xml:space="preserve">Razumeli smo da je </w:t>
      </w:r>
      <w:r w:rsidR="00843449" w:rsidRPr="00843449">
        <w:t>Stalna radna grupa za bezbednost novinara</w:t>
      </w:r>
      <w:r w:rsidR="00843449">
        <w:t xml:space="preserve"> </w:t>
      </w:r>
      <w:r w:rsidR="00EB636C">
        <w:t>izašla sa predlogom da se donesu izmene</w:t>
      </w:r>
      <w:r w:rsidR="00843449">
        <w:t xml:space="preserve"> i dopun</w:t>
      </w:r>
      <w:r w:rsidR="00EB636C">
        <w:t>e,</w:t>
      </w:r>
      <w:r w:rsidR="00843449">
        <w:t xml:space="preserve"> a da je Ministarstvo pravde vodilo ove konsultacije</w:t>
      </w:r>
      <w:r w:rsidR="00AC4CA0" w:rsidRPr="00BD5B2E">
        <w:t xml:space="preserve">. </w:t>
      </w:r>
      <w:r w:rsidR="00843449">
        <w:t xml:space="preserve">Osim toga, mi znamo da </w:t>
      </w:r>
      <w:r w:rsidR="002A2393">
        <w:t>je svrha ovih izmena i dopuna potreba da se reaguje na različite vrste onlajn zloupotreba i pretnj</w:t>
      </w:r>
      <w:r w:rsidR="0057604C">
        <w:t>i</w:t>
      </w:r>
      <w:r w:rsidR="002A2393">
        <w:t xml:space="preserve"> sa kojima se novinari susreću i </w:t>
      </w:r>
      <w:r w:rsidR="000965AB">
        <w:t>prevazilaženja</w:t>
      </w:r>
      <w:r w:rsidR="002A2393">
        <w:t xml:space="preserve"> </w:t>
      </w:r>
      <w:r w:rsidR="00FB31AE">
        <w:t>preprek</w:t>
      </w:r>
      <w:r w:rsidR="000965AB">
        <w:t>a</w:t>
      </w:r>
      <w:r w:rsidR="00FB31AE">
        <w:t xml:space="preserve"> u okviru postupaka</w:t>
      </w:r>
      <w:r w:rsidR="002A2393">
        <w:t xml:space="preserve"> za pokretanje istraga po službenoj dužnosti</w:t>
      </w:r>
      <w:r w:rsidR="00AC4CA0" w:rsidRPr="00BD5B2E">
        <w:t>.</w:t>
      </w:r>
    </w:p>
    <w:p w14:paraId="4A9CE687" w14:textId="5A7C37F1" w:rsidR="00614E69" w:rsidRPr="00BD5B2E" w:rsidRDefault="00EB636C">
      <w:pPr>
        <w:pStyle w:val="BodyText"/>
        <w:numPr>
          <w:ilvl w:val="0"/>
          <w:numId w:val="1"/>
        </w:numPr>
        <w:shd w:val="clear" w:color="auto" w:fill="auto"/>
        <w:tabs>
          <w:tab w:val="left" w:pos="405"/>
        </w:tabs>
        <w:ind w:left="440" w:hanging="440"/>
        <w:jc w:val="both"/>
      </w:pPr>
      <w:r>
        <w:t xml:space="preserve">Organizacija </w:t>
      </w:r>
      <w:r w:rsidR="00AC4CA0" w:rsidRPr="009A42CB">
        <w:rPr>
          <w:i/>
        </w:rPr>
        <w:t>ARTICLE 19</w:t>
      </w:r>
      <w:r w:rsidR="00AC4CA0" w:rsidRPr="00BD5B2E">
        <w:t xml:space="preserve"> </w:t>
      </w:r>
      <w:r>
        <w:t xml:space="preserve">pozdravlja činjenicu da se u eksplanatornim i opštim komentarima predloženih izmena i dopuna </w:t>
      </w:r>
      <w:r w:rsidR="00834029">
        <w:t xml:space="preserve">izričito prepoznaje načelo po kome je krivičnopravna zaštita </w:t>
      </w:r>
      <w:r w:rsidR="00AC4CA0" w:rsidRPr="00BD5B2E">
        <w:rPr>
          <w:i/>
          <w:iCs/>
        </w:rPr>
        <w:t>ultima ratio</w:t>
      </w:r>
      <w:r w:rsidR="00AC4CA0" w:rsidRPr="00BD5B2E">
        <w:t xml:space="preserve">; </w:t>
      </w:r>
      <w:r w:rsidR="00834029">
        <w:t xml:space="preserve">u okviru međunarodnih standarda slobode izražavanja, krivične sankcije treba koristiti samo u izuzetnim slučajevima i samo ako je neophodno, a sva ograničenja u vezi sa slobodom izražavanja se moraju dovoljno jasno formulisati, </w:t>
      </w:r>
      <w:r w:rsidR="0091127B">
        <w:t xml:space="preserve">srazmerno legitimnom cilju koji se želi postići i </w:t>
      </w:r>
      <w:r w:rsidR="00DB6F3A">
        <w:t>neophodnosti</w:t>
      </w:r>
      <w:r w:rsidR="0091127B">
        <w:t xml:space="preserve"> u demokratskom društvu</w:t>
      </w:r>
      <w:r w:rsidR="00AC4CA0" w:rsidRPr="00BD5B2E">
        <w:t>.</w:t>
      </w:r>
      <w:r w:rsidR="00AC4CA0" w:rsidRPr="00BD5B2E">
        <w:rPr>
          <w:vertAlign w:val="superscript"/>
        </w:rPr>
        <w:footnoteReference w:id="2"/>
      </w:r>
      <w:r w:rsidR="00AC4CA0" w:rsidRPr="00BD5B2E">
        <w:t xml:space="preserve"> </w:t>
      </w:r>
      <w:r w:rsidR="0091127B">
        <w:t>Isto tako cenimo napore da se podrži zaštita novinara u zemlji</w:t>
      </w:r>
      <w:r w:rsidR="00AC4CA0" w:rsidRPr="00BD5B2E">
        <w:t>.</w:t>
      </w:r>
    </w:p>
    <w:p w14:paraId="0044A68F" w14:textId="77777777" w:rsidR="00614E69" w:rsidRPr="00BD5B2E" w:rsidRDefault="00614E69">
      <w:pPr>
        <w:spacing w:line="1" w:lineRule="exact"/>
      </w:pPr>
    </w:p>
    <w:p w14:paraId="64B6636F" w14:textId="35B450DE" w:rsidR="00614E69" w:rsidRPr="00BD5B2E" w:rsidRDefault="00B80AA3">
      <w:pPr>
        <w:pStyle w:val="BodyText"/>
        <w:numPr>
          <w:ilvl w:val="0"/>
          <w:numId w:val="1"/>
        </w:numPr>
        <w:shd w:val="clear" w:color="auto" w:fill="auto"/>
        <w:tabs>
          <w:tab w:val="left" w:pos="360"/>
        </w:tabs>
        <w:spacing w:after="520"/>
        <w:ind w:left="440" w:hanging="440"/>
        <w:jc w:val="both"/>
      </w:pPr>
      <w:r>
        <w:t>Istovremeno</w:t>
      </w:r>
      <w:r w:rsidR="00AC4CA0" w:rsidRPr="00BD5B2E">
        <w:t xml:space="preserve">, </w:t>
      </w:r>
      <w:r w:rsidR="00AC4CA0" w:rsidRPr="00B80AA3">
        <w:rPr>
          <w:i/>
        </w:rPr>
        <w:t>ARTICLE 19</w:t>
      </w:r>
      <w:r w:rsidR="00AC4CA0" w:rsidRPr="00BD5B2E">
        <w:t xml:space="preserve"> </w:t>
      </w:r>
      <w:r>
        <w:t>konstatuje, da</w:t>
      </w:r>
      <w:r w:rsidR="003D151C">
        <w:t>,</w:t>
      </w:r>
      <w:r>
        <w:t xml:space="preserve"> iako je postojala dobra namera, u okviru predloga </w:t>
      </w:r>
      <w:r w:rsidR="00256398">
        <w:t xml:space="preserve">nije promišljeno kakve implikacije </w:t>
      </w:r>
      <w:r w:rsidR="00F705C5">
        <w:t>će</w:t>
      </w:r>
      <w:r w:rsidR="00256398">
        <w:t xml:space="preserve"> izmene i dopune</w:t>
      </w:r>
      <w:r w:rsidR="00F705C5">
        <w:t xml:space="preserve"> imati</w:t>
      </w:r>
      <w:r w:rsidR="00256398">
        <w:t xml:space="preserve"> </w:t>
      </w:r>
      <w:r>
        <w:t>na ostvarivanje prava na slobodu izražavanja</w:t>
      </w:r>
      <w:r w:rsidR="00AC4CA0" w:rsidRPr="00BD5B2E">
        <w:t xml:space="preserve">. </w:t>
      </w:r>
      <w:r>
        <w:t xml:space="preserve">Problematično je da li </w:t>
      </w:r>
      <w:r w:rsidR="003D151C">
        <w:t xml:space="preserve">su one </w:t>
      </w:r>
      <w:r>
        <w:t>zaista potrebne, ili postoje i druge prihvatljive i efikasne mere kojima bi se mogla poboljšati bezbednost novinara kao i njihovi radni uslovi</w:t>
      </w:r>
      <w:r w:rsidR="00AC4CA0" w:rsidRPr="00BD5B2E">
        <w:t xml:space="preserve">. </w:t>
      </w:r>
      <w:r>
        <w:t>Neke od tih mera mogu biti</w:t>
      </w:r>
      <w:r w:rsidR="00AC4CA0" w:rsidRPr="00BD5B2E">
        <w:t xml:space="preserve">: </w:t>
      </w:r>
      <w:r>
        <w:t>sprovođenje međunarodn</w:t>
      </w:r>
      <w:r w:rsidR="00CE0A7B">
        <w:t>opravn</w:t>
      </w:r>
      <w:r>
        <w:t>ih obaveza države</w:t>
      </w:r>
      <w:r w:rsidR="00AC4CA0" w:rsidRPr="00BD5B2E">
        <w:t xml:space="preserve">; </w:t>
      </w:r>
      <w:r w:rsidR="00CE0A7B">
        <w:t>po</w:t>
      </w:r>
      <w:r>
        <w:t>bolj</w:t>
      </w:r>
      <w:r w:rsidR="00CE0A7B">
        <w:t>šan</w:t>
      </w:r>
      <w:r>
        <w:t xml:space="preserve">i resursi i obuke za </w:t>
      </w:r>
      <w:r w:rsidR="005C342E">
        <w:t>policijske službenike</w:t>
      </w:r>
      <w:r>
        <w:t>, tužioce i sudije</w:t>
      </w:r>
      <w:r w:rsidR="00AC4CA0" w:rsidRPr="00BD5B2E">
        <w:t xml:space="preserve">; </w:t>
      </w:r>
      <w:r w:rsidR="00B46ACD">
        <w:t xml:space="preserve">kao i reforme </w:t>
      </w:r>
      <w:r w:rsidR="00CE0A7B">
        <w:t xml:space="preserve">odredbi </w:t>
      </w:r>
      <w:r w:rsidR="00B46ACD">
        <w:t>krivičnog zakonodavstva koje se odnos</w:t>
      </w:r>
      <w:r w:rsidR="00CE0A7B">
        <w:t>e</w:t>
      </w:r>
      <w:r w:rsidR="00B46ACD">
        <w:t xml:space="preserve"> na klevetu</w:t>
      </w:r>
      <w:r w:rsidR="00AC4CA0" w:rsidRPr="00BD5B2E">
        <w:t xml:space="preserve">. </w:t>
      </w:r>
      <w:r w:rsidR="00B46ACD">
        <w:t xml:space="preserve">Mišljenje organizacije </w:t>
      </w:r>
      <w:r w:rsidR="00AC4CA0" w:rsidRPr="00256398">
        <w:rPr>
          <w:i/>
        </w:rPr>
        <w:t>ARTICLE 19</w:t>
      </w:r>
      <w:r w:rsidR="00B46ACD">
        <w:t xml:space="preserve"> jeste da takve mere predstavljaju bolje metode za zaštitu novinara</w:t>
      </w:r>
      <w:r w:rsidR="00A86093">
        <w:t xml:space="preserve"> od onih koje su trenutno predstavljene u izmenama i dopunama</w:t>
      </w:r>
      <w:r w:rsidR="00AC4CA0" w:rsidRPr="00BD5B2E">
        <w:t xml:space="preserve">. </w:t>
      </w:r>
      <w:r w:rsidR="00A86093">
        <w:t>Osim toga, zaštita novinara nužno zahteva i potpunu zaštitu ljudskih prava novinara kao i ljudskih prava svih, naročito njihovog prava na slobo</w:t>
      </w:r>
      <w:r w:rsidR="00256398">
        <w:t xml:space="preserve">du izražavanja, na kojem počivaju i njihova profesija </w:t>
      </w:r>
      <w:r w:rsidR="00A86093">
        <w:t>i zdrava demokratija</w:t>
      </w:r>
      <w:r w:rsidR="00AC4CA0" w:rsidRPr="00BD5B2E">
        <w:t>.</w:t>
      </w:r>
    </w:p>
    <w:p w14:paraId="44118EF7" w14:textId="77777777" w:rsidR="00614E69" w:rsidRPr="00BD5B2E" w:rsidRDefault="00A86093">
      <w:pPr>
        <w:pStyle w:val="BodyText"/>
        <w:shd w:val="clear" w:color="auto" w:fill="auto"/>
        <w:spacing w:after="280"/>
      </w:pPr>
      <w:r>
        <w:rPr>
          <w:b/>
          <w:bCs/>
        </w:rPr>
        <w:t>Opšti komentari</w:t>
      </w:r>
    </w:p>
    <w:p w14:paraId="70A66255" w14:textId="4018F3BA" w:rsidR="00614E69" w:rsidRPr="00BD5B2E" w:rsidRDefault="00AC4CA0" w:rsidP="00EB3DEC">
      <w:pPr>
        <w:pStyle w:val="BodyText"/>
        <w:numPr>
          <w:ilvl w:val="0"/>
          <w:numId w:val="1"/>
        </w:numPr>
        <w:shd w:val="clear" w:color="auto" w:fill="auto"/>
        <w:tabs>
          <w:tab w:val="left" w:pos="360"/>
        </w:tabs>
        <w:spacing w:after="280"/>
        <w:ind w:left="440" w:hanging="440"/>
        <w:jc w:val="both"/>
      </w:pPr>
      <w:r w:rsidRPr="00EB3DEC">
        <w:rPr>
          <w:i/>
        </w:rPr>
        <w:t>ARTICLE</w:t>
      </w:r>
      <w:r w:rsidRPr="00BD5B2E">
        <w:t xml:space="preserve"> </w:t>
      </w:r>
      <w:r w:rsidRPr="00EB3DEC">
        <w:rPr>
          <w:i/>
        </w:rPr>
        <w:t>19</w:t>
      </w:r>
      <w:r w:rsidRPr="00BD5B2E">
        <w:t xml:space="preserve"> </w:t>
      </w:r>
      <w:r w:rsidR="00B36003">
        <w:t xml:space="preserve">podseća da u okviru međunarodnog prava ljudskih prava, </w:t>
      </w:r>
      <w:r w:rsidR="00EB3DEC">
        <w:t xml:space="preserve">obim prava </w:t>
      </w:r>
      <w:r w:rsidR="00EB3DEC" w:rsidRPr="00EB3DEC">
        <w:t>na slobodu izražavanja</w:t>
      </w:r>
      <w:r w:rsidR="00EB3DEC">
        <w:t xml:space="preserve"> pokriva </w:t>
      </w:r>
      <w:r w:rsidR="00BF56E9">
        <w:t>i izražavanje mišljenja i ideja koje drugima mogu biti veoma uvredljive</w:t>
      </w:r>
      <w:r w:rsidRPr="00BD5B2E">
        <w:rPr>
          <w:color w:val="000000"/>
        </w:rPr>
        <w:t>,</w:t>
      </w:r>
      <w:r w:rsidRPr="00BD5B2E">
        <w:rPr>
          <w:color w:val="000000"/>
          <w:vertAlign w:val="superscript"/>
        </w:rPr>
        <w:footnoteReference w:id="3"/>
      </w:r>
      <w:r w:rsidRPr="00BD5B2E">
        <w:rPr>
          <w:color w:val="000000"/>
        </w:rPr>
        <w:t xml:space="preserve"> </w:t>
      </w:r>
      <w:r w:rsidR="00BF56E9">
        <w:rPr>
          <w:color w:val="000000"/>
        </w:rPr>
        <w:t>a da to nekada može obuhvatiti nedozvoljen</w:t>
      </w:r>
      <w:r w:rsidR="005317E9">
        <w:rPr>
          <w:color w:val="000000"/>
        </w:rPr>
        <w:t>o</w:t>
      </w:r>
      <w:r w:rsidR="00D523E4">
        <w:rPr>
          <w:color w:val="000000"/>
        </w:rPr>
        <w:t>, stigmatizirajuće</w:t>
      </w:r>
      <w:r w:rsidR="00BF56E9">
        <w:rPr>
          <w:color w:val="000000"/>
        </w:rPr>
        <w:t xml:space="preserve"> i diskriminišuće izražavanje</w:t>
      </w:r>
      <w:r w:rsidRPr="00BD5B2E">
        <w:rPr>
          <w:color w:val="000000"/>
        </w:rPr>
        <w:t xml:space="preserve">. </w:t>
      </w:r>
      <w:r w:rsidR="00BF56E9">
        <w:rPr>
          <w:color w:val="000000"/>
        </w:rPr>
        <w:t xml:space="preserve">Ovaj široki obim zaštite ne bi trebalo da nadležnim organima dozvoli da se uzdržavaju od delovanja. S druge strane, države bi trebalo da se potrude da </w:t>
      </w:r>
      <w:r w:rsidR="005317E9">
        <w:rPr>
          <w:color w:val="000000"/>
        </w:rPr>
        <w:t xml:space="preserve">efikasno </w:t>
      </w:r>
      <w:r w:rsidR="00BF56E9">
        <w:rPr>
          <w:color w:val="000000"/>
        </w:rPr>
        <w:t xml:space="preserve">spreče napade na novinare i ostale </w:t>
      </w:r>
      <w:r w:rsidR="00A62D7A">
        <w:rPr>
          <w:color w:val="000000"/>
        </w:rPr>
        <w:t>kada ti napadi predstavljaju</w:t>
      </w:r>
      <w:r w:rsidR="005317E9">
        <w:rPr>
          <w:color w:val="000000"/>
        </w:rPr>
        <w:t xml:space="preserve"> </w:t>
      </w:r>
      <w:r w:rsidR="007F46B2">
        <w:rPr>
          <w:color w:val="000000"/>
        </w:rPr>
        <w:t>odmazdu</w:t>
      </w:r>
      <w:r w:rsidR="00BF56E9">
        <w:rPr>
          <w:color w:val="000000"/>
        </w:rPr>
        <w:t xml:space="preserve"> </w:t>
      </w:r>
      <w:r w:rsidR="004B0636">
        <w:rPr>
          <w:color w:val="000000"/>
        </w:rPr>
        <w:t>zbog toga što oni</w:t>
      </w:r>
      <w:r w:rsidR="00BF56E9">
        <w:rPr>
          <w:color w:val="000000"/>
        </w:rPr>
        <w:t xml:space="preserve"> </w:t>
      </w:r>
      <w:r w:rsidR="002F25F0">
        <w:rPr>
          <w:color w:val="000000"/>
        </w:rPr>
        <w:t xml:space="preserve">koriste </w:t>
      </w:r>
      <w:r w:rsidR="00BF56E9">
        <w:rPr>
          <w:color w:val="000000"/>
        </w:rPr>
        <w:t xml:space="preserve">svoja prava na slobodu izražavanja, </w:t>
      </w:r>
      <w:r w:rsidR="00406D0D">
        <w:rPr>
          <w:color w:val="000000"/>
        </w:rPr>
        <w:t>a to važi i za politički govor</w:t>
      </w:r>
      <w:r w:rsidRPr="00BD5B2E">
        <w:rPr>
          <w:color w:val="000000"/>
        </w:rPr>
        <w:t>.</w:t>
      </w:r>
    </w:p>
    <w:p w14:paraId="3A175775" w14:textId="488D8038" w:rsidR="00614E69" w:rsidRPr="00BD5B2E" w:rsidRDefault="005317E9">
      <w:pPr>
        <w:pStyle w:val="BodyText"/>
        <w:numPr>
          <w:ilvl w:val="0"/>
          <w:numId w:val="1"/>
        </w:numPr>
        <w:shd w:val="clear" w:color="auto" w:fill="auto"/>
        <w:tabs>
          <w:tab w:val="left" w:pos="360"/>
        </w:tabs>
        <w:spacing w:after="280"/>
        <w:ind w:left="440" w:hanging="440"/>
        <w:jc w:val="both"/>
      </w:pPr>
      <w:r>
        <w:rPr>
          <w:color w:val="000000"/>
        </w:rPr>
        <w:t>Osim toga, države su u obavezi da obezbede zaštitu onima koji su podložni riziku od takvih napada, da istraže te napade kada se oni dese i da</w:t>
      </w:r>
      <w:r w:rsidR="00417642">
        <w:rPr>
          <w:color w:val="000000"/>
        </w:rPr>
        <w:t xml:space="preserve"> krivično gone odgovorne</w:t>
      </w:r>
      <w:r w:rsidR="00AC4CA0" w:rsidRPr="00BD5B2E">
        <w:rPr>
          <w:color w:val="000000"/>
        </w:rPr>
        <w:t xml:space="preserve">, </w:t>
      </w:r>
      <w:r w:rsidR="00417642">
        <w:rPr>
          <w:color w:val="000000"/>
        </w:rPr>
        <w:t>da bi se okončala kultura nekažnjavanja za takve napade</w:t>
      </w:r>
      <w:r w:rsidR="00AC4CA0" w:rsidRPr="00BD5B2E">
        <w:rPr>
          <w:color w:val="000000"/>
        </w:rPr>
        <w:t>.</w:t>
      </w:r>
      <w:r w:rsidR="00AC4CA0" w:rsidRPr="00BD5B2E">
        <w:rPr>
          <w:color w:val="000000"/>
          <w:vertAlign w:val="superscript"/>
        </w:rPr>
        <w:footnoteReference w:id="4"/>
      </w:r>
      <w:r w:rsidR="00417642">
        <w:rPr>
          <w:color w:val="000000"/>
        </w:rPr>
        <w:t xml:space="preserve"> Cilj zaštite u okviru krivičnog prava treba da bude zaštita fizičkog integriteta pojedinca koji je ugrožen ili napadnut zato što je </w:t>
      </w:r>
      <w:r w:rsidR="002F25F0">
        <w:rPr>
          <w:color w:val="000000"/>
        </w:rPr>
        <w:t xml:space="preserve">koristio </w:t>
      </w:r>
      <w:r w:rsidR="00417642">
        <w:rPr>
          <w:color w:val="000000"/>
        </w:rPr>
        <w:t>svoje pravo na slobodu izražavanja</w:t>
      </w:r>
      <w:r w:rsidR="00AC4CA0" w:rsidRPr="00BD5B2E">
        <w:t xml:space="preserve">, </w:t>
      </w:r>
      <w:r w:rsidR="00417642">
        <w:t xml:space="preserve">umesto da </w:t>
      </w:r>
      <w:r w:rsidR="00020ACC">
        <w:t xml:space="preserve">se </w:t>
      </w:r>
      <w:r w:rsidR="00417642">
        <w:t>pojedinc</w:t>
      </w:r>
      <w:r w:rsidR="00020ACC">
        <w:t>i</w:t>
      </w:r>
      <w:r w:rsidR="00417642">
        <w:t xml:space="preserve"> </w:t>
      </w:r>
      <w:r w:rsidR="00020ACC">
        <w:t xml:space="preserve">štite </w:t>
      </w:r>
      <w:r w:rsidR="00417642">
        <w:t xml:space="preserve">od izražavanja tih sloboda. </w:t>
      </w:r>
      <w:r w:rsidR="003B19F9">
        <w:t>Slučajevi u</w:t>
      </w:r>
      <w:r w:rsidR="001F6AE2">
        <w:t xml:space="preserve"> kojima </w:t>
      </w:r>
      <w:r w:rsidR="003B19F9">
        <w:t xml:space="preserve">je opravdano </w:t>
      </w:r>
      <w:r w:rsidR="00D155B7">
        <w:t>krivično gonjenje</w:t>
      </w:r>
      <w:r w:rsidR="002219B0">
        <w:t xml:space="preserve"> su pretnje smrću, ubistva, uznemiravanje, otmica, </w:t>
      </w:r>
      <w:r w:rsidR="00D155B7">
        <w:t>protivpravno lišenje slobode</w:t>
      </w:r>
      <w:r w:rsidR="002219B0">
        <w:t xml:space="preserve">, </w:t>
      </w:r>
      <w:r w:rsidR="0027125F">
        <w:t xml:space="preserve">kao </w:t>
      </w:r>
      <w:r w:rsidR="002219B0">
        <w:t>i svi ostali koji ispunjavaju zahteve međunarodnih standarda slobode izražavanja</w:t>
      </w:r>
      <w:r w:rsidR="00AC4CA0" w:rsidRPr="00BD5B2E">
        <w:t>.</w:t>
      </w:r>
      <w:r w:rsidR="00AC4CA0" w:rsidRPr="00BD5B2E">
        <w:rPr>
          <w:vertAlign w:val="superscript"/>
        </w:rPr>
        <w:footnoteReference w:id="5"/>
      </w:r>
    </w:p>
    <w:p w14:paraId="2C82F1A8" w14:textId="08289C49" w:rsidR="00614E69" w:rsidRPr="00BD5B2E" w:rsidRDefault="005227A8" w:rsidP="00FB31AE">
      <w:pPr>
        <w:pStyle w:val="BodyText"/>
        <w:numPr>
          <w:ilvl w:val="0"/>
          <w:numId w:val="1"/>
        </w:numPr>
        <w:shd w:val="clear" w:color="auto" w:fill="auto"/>
        <w:tabs>
          <w:tab w:val="left" w:pos="360"/>
        </w:tabs>
        <w:spacing w:after="280"/>
        <w:ind w:left="440" w:hanging="440"/>
        <w:jc w:val="both"/>
      </w:pPr>
      <w:r>
        <w:t xml:space="preserve">U okviru predloga za izmene i dopune Krivičnog zakonika </w:t>
      </w:r>
      <w:r w:rsidR="007E2465">
        <w:t>nisu ispunjeni</w:t>
      </w:r>
      <w:r>
        <w:t xml:space="preserve"> prethodno pomenuti međunarodni standardi slobode izražavanja</w:t>
      </w:r>
      <w:r w:rsidR="00AC4CA0" w:rsidRPr="00BD5B2E">
        <w:t xml:space="preserve">. </w:t>
      </w:r>
      <w:r w:rsidR="00FE277D">
        <w:t xml:space="preserve">U okviru predloga ne pravi se razlika između </w:t>
      </w:r>
      <w:r w:rsidR="00FB31AE">
        <w:t>kritika i uvredljivih poruka koj</w:t>
      </w:r>
      <w:r w:rsidR="007E2465">
        <w:t>e</w:t>
      </w:r>
      <w:r w:rsidR="00FB31AE">
        <w:t xml:space="preserve"> ne povlače krivičnu odgovornost i napada i pretnji sa kojima se novinari suočavaju jer obavljaju svoju novinarsku delatnost</w:t>
      </w:r>
      <w:r w:rsidR="00AC4CA0" w:rsidRPr="00BD5B2E">
        <w:rPr>
          <w:color w:val="000000"/>
        </w:rPr>
        <w:t xml:space="preserve">. </w:t>
      </w:r>
      <w:r w:rsidR="00FB31AE" w:rsidRPr="00FB31AE">
        <w:rPr>
          <w:color w:val="000000"/>
        </w:rPr>
        <w:t xml:space="preserve">Za ovo drugo zapravo je potrebno da tužilaštvo preduzme gonjenje </w:t>
      </w:r>
      <w:r w:rsidR="00FB31AE">
        <w:rPr>
          <w:color w:val="000000"/>
        </w:rPr>
        <w:t>radi zaštite ugroženih novinara</w:t>
      </w:r>
      <w:r w:rsidR="00AC4CA0" w:rsidRPr="00BD5B2E">
        <w:rPr>
          <w:color w:val="000000"/>
        </w:rPr>
        <w:t>.</w:t>
      </w:r>
    </w:p>
    <w:p w14:paraId="367D7ED1" w14:textId="77777777" w:rsidR="00614E69" w:rsidRPr="00BD5B2E" w:rsidRDefault="00FB31AE">
      <w:pPr>
        <w:pStyle w:val="BodyText"/>
        <w:shd w:val="clear" w:color="auto" w:fill="auto"/>
        <w:spacing w:after="280"/>
      </w:pPr>
      <w:r w:rsidRPr="00FB31AE">
        <w:rPr>
          <w:b/>
          <w:bCs/>
        </w:rPr>
        <w:t>K</w:t>
      </w:r>
      <w:r>
        <w:rPr>
          <w:b/>
          <w:bCs/>
        </w:rPr>
        <w:t>o</w:t>
      </w:r>
      <w:r w:rsidRPr="00FB31AE">
        <w:rPr>
          <w:b/>
          <w:bCs/>
        </w:rPr>
        <w:t xml:space="preserve">mentari na izmene </w:t>
      </w:r>
      <w:r>
        <w:rPr>
          <w:b/>
          <w:bCs/>
        </w:rPr>
        <w:t>i</w:t>
      </w:r>
      <w:r w:rsidRPr="00FB31AE">
        <w:rPr>
          <w:b/>
          <w:bCs/>
        </w:rPr>
        <w:t xml:space="preserve"> dopune člana</w:t>
      </w:r>
      <w:r w:rsidR="00AC4CA0" w:rsidRPr="00BD5B2E">
        <w:rPr>
          <w:b/>
          <w:bCs/>
        </w:rPr>
        <w:t xml:space="preserve"> 149</w:t>
      </w:r>
    </w:p>
    <w:p w14:paraId="0776E807" w14:textId="6E6D9BD6" w:rsidR="00614E69" w:rsidRPr="00BD5B2E" w:rsidRDefault="00FB31AE" w:rsidP="00FB31AE">
      <w:pPr>
        <w:pStyle w:val="BodyText"/>
        <w:numPr>
          <w:ilvl w:val="0"/>
          <w:numId w:val="1"/>
        </w:numPr>
        <w:shd w:val="clear" w:color="auto" w:fill="auto"/>
        <w:tabs>
          <w:tab w:val="left" w:pos="360"/>
        </w:tabs>
        <w:ind w:left="440" w:hanging="440"/>
        <w:jc w:val="both"/>
      </w:pPr>
      <w:r>
        <w:lastRenderedPageBreak/>
        <w:t>U članu 149. utvrđuje se sledeće</w:t>
      </w:r>
      <w:r w:rsidR="007E2465">
        <w:t>:</w:t>
      </w:r>
      <w:r>
        <w:t xml:space="preserve"> „</w:t>
      </w:r>
      <w:r w:rsidR="00AC4CA0" w:rsidRPr="00BD5B2E">
        <w:t xml:space="preserve">(1) </w:t>
      </w:r>
      <w:r>
        <w:t>Ko neovlašćeno spreči ili ometa štampanje, snimanje, prodaju ili rasturanje knjiga, časopisa, novina, audio i video kaseta ili drugih sličnih štampanih ili snimljenih stvari, kazniće se novčanom kaznom ili zatvorom do jedne godine</w:t>
      </w:r>
      <w:r w:rsidR="00AC4CA0" w:rsidRPr="00BD5B2E">
        <w:t>.</w:t>
      </w:r>
      <w:r>
        <w:t>“</w:t>
      </w:r>
      <w:r w:rsidR="00AC4CA0" w:rsidRPr="00BD5B2E">
        <w:t xml:space="preserve"> </w:t>
      </w:r>
      <w:r>
        <w:t xml:space="preserve">U okviru predloženih izmena i dopuna dodaje se </w:t>
      </w:r>
      <w:r w:rsidR="007E2465">
        <w:t>stav</w:t>
      </w:r>
      <w:r w:rsidR="007E2465" w:rsidRPr="00BD5B2E">
        <w:t xml:space="preserve"> </w:t>
      </w:r>
      <w:r w:rsidR="00AC4CA0" w:rsidRPr="00BD5B2E">
        <w:t xml:space="preserve">(2) </w:t>
      </w:r>
      <w:r>
        <w:t>kojim se utvrđuje</w:t>
      </w:r>
      <w:r w:rsidR="005D0879">
        <w:t xml:space="preserve"> da </w:t>
      </w:r>
      <w:r w:rsidR="00AC4CA0" w:rsidRPr="00BD5B2E">
        <w:t>“</w:t>
      </w:r>
      <w:r>
        <w:t>k</w:t>
      </w:r>
      <w:r w:rsidRPr="00FB31AE">
        <w:t>aznom iz stava 1. kazniće se i ko neovlašćeno spreči ili ometa objavljivanje putem medija informacije od javnog značaja, ili ko zbog objavljivanja takve informacije ili m</w:t>
      </w:r>
      <w:r>
        <w:t>išljenja grubim vređanjem ili z</w:t>
      </w:r>
      <w:r w:rsidRPr="00FB31AE">
        <w:t>lostavljanjem, drskim ili bezobzirnim ponašanjem značajno ugrozi spokojstvo lica koje je informaciju il</w:t>
      </w:r>
      <w:r>
        <w:t>i</w:t>
      </w:r>
      <w:r w:rsidRPr="00FB31AE">
        <w:t xml:space="preserve"> mišljenje objavilo</w:t>
      </w:r>
      <w:r w:rsidR="00AC4CA0" w:rsidRPr="00BD5B2E">
        <w:t>.”</w:t>
      </w:r>
    </w:p>
    <w:p w14:paraId="77B00EAF" w14:textId="7E00528E" w:rsidR="00614E69" w:rsidRPr="00BD5B2E" w:rsidRDefault="00FB31AE">
      <w:pPr>
        <w:pStyle w:val="BodyText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</w:pPr>
      <w:r>
        <w:t xml:space="preserve">Organizacija </w:t>
      </w:r>
      <w:r w:rsidR="00AC4CA0" w:rsidRPr="00FB31AE">
        <w:rPr>
          <w:i/>
        </w:rPr>
        <w:t>ARTICLE 19</w:t>
      </w:r>
      <w:r w:rsidR="00AC4CA0" w:rsidRPr="00BD5B2E">
        <w:t xml:space="preserve"> </w:t>
      </w:r>
      <w:r>
        <w:t xml:space="preserve">je zabrinuta zbog predložene dopune iz sledećih </w:t>
      </w:r>
      <w:r w:rsidR="007E2465">
        <w:t xml:space="preserve">glavnih </w:t>
      </w:r>
      <w:r>
        <w:t>razloga</w:t>
      </w:r>
      <w:r w:rsidR="00AC4CA0" w:rsidRPr="00BD5B2E">
        <w:t>:</w:t>
      </w:r>
    </w:p>
    <w:p w14:paraId="38304DFB" w14:textId="77777777" w:rsidR="00614E69" w:rsidRPr="00BD5B2E" w:rsidRDefault="005D0879" w:rsidP="005D0879">
      <w:pPr>
        <w:pStyle w:val="BodyText"/>
        <w:numPr>
          <w:ilvl w:val="0"/>
          <w:numId w:val="2"/>
        </w:numPr>
        <w:shd w:val="clear" w:color="auto" w:fill="auto"/>
        <w:tabs>
          <w:tab w:val="left" w:pos="877"/>
        </w:tabs>
        <w:ind w:left="880" w:hanging="360"/>
        <w:jc w:val="both"/>
      </w:pPr>
      <w:r>
        <w:t xml:space="preserve">Pre svega, veliki broj pojmova je nejasan, čime </w:t>
      </w:r>
      <w:r w:rsidRPr="005D0879">
        <w:t>je povređen zahtev zakonitosti ograničenja prava na slobodu izražavanja</w:t>
      </w:r>
      <w:r>
        <w:t>.</w:t>
      </w:r>
    </w:p>
    <w:p w14:paraId="302C5A25" w14:textId="77777777" w:rsidR="00614E69" w:rsidRPr="00BD5B2E" w:rsidRDefault="005D0879">
      <w:pPr>
        <w:pStyle w:val="BodyText"/>
        <w:numPr>
          <w:ilvl w:val="0"/>
          <w:numId w:val="2"/>
        </w:numPr>
        <w:shd w:val="clear" w:color="auto" w:fill="auto"/>
        <w:tabs>
          <w:tab w:val="left" w:pos="877"/>
        </w:tabs>
        <w:ind w:left="880" w:hanging="360"/>
        <w:jc w:val="both"/>
      </w:pPr>
      <w:r>
        <w:t>Zatim, kažnjava se izražavanje mišljenja koje ima apsolutnu zaštitu u okviru međunarodnih standarda slobode izražavanja</w:t>
      </w:r>
    </w:p>
    <w:p w14:paraId="308B0D9E" w14:textId="6D6C0E7D" w:rsidR="00614E69" w:rsidRPr="00BD5B2E" w:rsidRDefault="005D0879">
      <w:pPr>
        <w:pStyle w:val="BodyText"/>
        <w:numPr>
          <w:ilvl w:val="0"/>
          <w:numId w:val="2"/>
        </w:numPr>
        <w:shd w:val="clear" w:color="auto" w:fill="auto"/>
        <w:tabs>
          <w:tab w:val="left" w:pos="877"/>
        </w:tabs>
        <w:spacing w:after="560"/>
        <w:ind w:left="880" w:hanging="360"/>
        <w:jc w:val="both"/>
      </w:pPr>
      <w:r>
        <w:t xml:space="preserve">I kao treće, uvodi se krivična sankcija za „uvredu“ i slični </w:t>
      </w:r>
      <w:r w:rsidR="007E2465">
        <w:t xml:space="preserve">instituti </w:t>
      </w:r>
      <w:r>
        <w:t>koji nisu dozvoljeni u okviru međunarodnih standarda slobode izražavanja</w:t>
      </w:r>
      <w:r w:rsidR="00AC4CA0" w:rsidRPr="00BD5B2E">
        <w:t>.</w:t>
      </w:r>
    </w:p>
    <w:p w14:paraId="61962782" w14:textId="77777777" w:rsidR="00614E69" w:rsidRPr="00BD5B2E" w:rsidRDefault="005D0879">
      <w:pPr>
        <w:pStyle w:val="Heading10"/>
        <w:keepNext/>
        <w:keepLines/>
        <w:shd w:val="clear" w:color="auto" w:fill="auto"/>
      </w:pPr>
      <w:r>
        <w:t>Nejasn</w:t>
      </w:r>
      <w:r w:rsidR="008777B7">
        <w:t>a terminologija</w:t>
      </w:r>
    </w:p>
    <w:p w14:paraId="5876A082" w14:textId="4BDEE5E3" w:rsidR="00614E69" w:rsidRPr="00BD5B2E" w:rsidRDefault="00D24A94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ind w:left="440" w:hanging="440"/>
        <w:jc w:val="both"/>
      </w:pPr>
      <w:r>
        <w:t xml:space="preserve">U okviru međunarodnih standarda </w:t>
      </w:r>
      <w:r w:rsidR="004E5473">
        <w:t xml:space="preserve">prava na </w:t>
      </w:r>
      <w:r>
        <w:t>slobod</w:t>
      </w:r>
      <w:r w:rsidR="004F00F6">
        <w:t>u</w:t>
      </w:r>
      <w:r>
        <w:t xml:space="preserve"> izražavanja, ograničenja prava na slobodu izražavanja su dozvoljena samo ako su propisana zakonom</w:t>
      </w:r>
      <w:r w:rsidR="001557B1">
        <w:t>.</w:t>
      </w:r>
      <w:r w:rsidR="00AC4CA0" w:rsidRPr="00BD5B2E">
        <w:t xml:space="preserve"> </w:t>
      </w:r>
      <w:r w:rsidR="004F00F6">
        <w:t>To znači da ograničenja ne samo da su utvrđena u zakonodavstvu već da relevantni zakoni ispunjavaju standarde jasnoće i dostupnosti</w:t>
      </w:r>
      <w:r w:rsidR="00AC4CA0" w:rsidRPr="00BD5B2E">
        <w:t xml:space="preserve">. </w:t>
      </w:r>
      <w:r w:rsidR="004F00F6">
        <w:t>Zakoni u kojima se organima vlasti poveravaju veoma široka diskreciona ovlašćenja da ograniče pravo na slobodu izražavanja ne ispunjavaju ovaj kriterijum</w:t>
      </w:r>
      <w:r w:rsidR="00AC4CA0" w:rsidRPr="00BD5B2E">
        <w:t xml:space="preserve">. </w:t>
      </w:r>
      <w:r w:rsidR="004F00F6">
        <w:t xml:space="preserve">Predložena izmena i dopuna je </w:t>
      </w:r>
      <w:r w:rsidR="002B70A6">
        <w:t xml:space="preserve">baš </w:t>
      </w:r>
      <w:r w:rsidR="004F00F6">
        <w:t xml:space="preserve">takav primer </w:t>
      </w:r>
      <w:r w:rsidR="002B70A6">
        <w:t xml:space="preserve">zato što </w:t>
      </w:r>
      <w:r w:rsidR="004F00F6">
        <w:t>ključni pojmovi nisu jasni, uključujući i „javni značaj“, kao i „drsko i bezobzirno ponašanje“.</w:t>
      </w:r>
    </w:p>
    <w:p w14:paraId="59F885D9" w14:textId="011E6CB4" w:rsidR="00614E69" w:rsidRPr="00BD5B2E" w:rsidRDefault="004D29A3" w:rsidP="00461B62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ind w:left="440" w:hanging="440"/>
        <w:jc w:val="both"/>
      </w:pPr>
      <w:r>
        <w:t xml:space="preserve">Primećujemo </w:t>
      </w:r>
      <w:r w:rsidR="00461B62">
        <w:t>da je krajnji cilj predložene izmene člana 149. zaštita „mentalnog spokojstva“ određenih pojedinaca od „</w:t>
      </w:r>
      <w:r w:rsidR="00461B62" w:rsidRPr="00461B62">
        <w:t>grub</w:t>
      </w:r>
      <w:r w:rsidR="00461B62">
        <w:t>og</w:t>
      </w:r>
      <w:r w:rsidR="00461B62" w:rsidRPr="00461B62">
        <w:t xml:space="preserve"> vređanj</w:t>
      </w:r>
      <w:r w:rsidR="00461B62">
        <w:t>a</w:t>
      </w:r>
      <w:r w:rsidR="00461B62" w:rsidRPr="00461B62">
        <w:t xml:space="preserve"> ili zlostavljanj</w:t>
      </w:r>
      <w:r w:rsidR="00461B62">
        <w:t>a</w:t>
      </w:r>
      <w:r w:rsidR="00461B62" w:rsidRPr="00461B62">
        <w:t>, drsk</w:t>
      </w:r>
      <w:r w:rsidR="00461B62">
        <w:t>og</w:t>
      </w:r>
      <w:r w:rsidR="00461B62" w:rsidRPr="00461B62">
        <w:t xml:space="preserve"> ili bezobzirn</w:t>
      </w:r>
      <w:r w:rsidR="00461B62">
        <w:t>og ponašanja“.</w:t>
      </w:r>
      <w:r w:rsidR="00AC4CA0" w:rsidRPr="00BD5B2E">
        <w:t xml:space="preserve"> </w:t>
      </w:r>
      <w:r w:rsidR="00461B62">
        <w:t xml:space="preserve">Iako autor ovog predloga upozorava o mogućem širem tumačenju ovih koncepata, ovim predlogom se oni opravdavaju uz pretpostavku da ako verbalne i fizičke pretnje prođu nekažnjeno, to može dovesti </w:t>
      </w:r>
      <w:r w:rsidR="00446751">
        <w:t xml:space="preserve">do toga </w:t>
      </w:r>
      <w:r w:rsidR="00461B62">
        <w:t xml:space="preserve">da se informacije ne objave da bi se izbeglo ugrožavanje fizičkog i mentalnog integriteta </w:t>
      </w:r>
      <w:r w:rsidR="00051FAF">
        <w:t>lica</w:t>
      </w:r>
      <w:r w:rsidR="00461B62">
        <w:t xml:space="preserve"> koj</w:t>
      </w:r>
      <w:r w:rsidR="00051FAF">
        <w:t>e</w:t>
      </w:r>
      <w:r w:rsidR="00461B62">
        <w:t xml:space="preserve"> je informaciju objavi</w:t>
      </w:r>
      <w:r w:rsidR="00051FAF">
        <w:t>lo</w:t>
      </w:r>
      <w:r w:rsidR="00AC4CA0" w:rsidRPr="00BD5B2E">
        <w:t xml:space="preserve">. </w:t>
      </w:r>
      <w:r w:rsidR="00461B62">
        <w:t xml:space="preserve">Međutim, organizacija </w:t>
      </w:r>
      <w:r w:rsidR="00AC4CA0" w:rsidRPr="00461B62">
        <w:rPr>
          <w:i/>
        </w:rPr>
        <w:t>ARTICLE 19</w:t>
      </w:r>
      <w:r w:rsidR="00461B62">
        <w:t xml:space="preserve"> smatra da ugrožavanj</w:t>
      </w:r>
      <w:r w:rsidR="00784688">
        <w:t>e</w:t>
      </w:r>
      <w:r w:rsidR="00461B62">
        <w:t xml:space="preserve"> „mentalnog spokojstva“ novinara zbog samih uvredljivih verbalnih napada teško da ispunjava prag strogosti, osim ako ti napadi nisu povezani </w:t>
      </w:r>
      <w:r w:rsidR="001B2A44">
        <w:t>s</w:t>
      </w:r>
      <w:r w:rsidR="00461B62">
        <w:t xml:space="preserve">a ostalim rizicima i </w:t>
      </w:r>
      <w:r w:rsidR="001B2A44">
        <w:t>okolnostima</w:t>
      </w:r>
      <w:r w:rsidR="00461B62">
        <w:t xml:space="preserve">, poput obrazaca prethodnih napada i verovatnoće da će doći do eskalacije i dovođenja </w:t>
      </w:r>
      <w:r w:rsidR="0088716A">
        <w:t xml:space="preserve">integriteta osobe </w:t>
      </w:r>
      <w:r w:rsidR="00461B62">
        <w:t>koja vrši svoje pravo na slobodu izražavanja</w:t>
      </w:r>
      <w:r w:rsidR="0088716A" w:rsidRPr="0088716A">
        <w:t xml:space="preserve"> </w:t>
      </w:r>
      <w:r w:rsidR="0088716A">
        <w:t>u ozbiljnu</w:t>
      </w:r>
      <w:r w:rsidR="0088716A" w:rsidRPr="0088716A">
        <w:t xml:space="preserve"> </w:t>
      </w:r>
      <w:r w:rsidR="0088716A">
        <w:t>opasnost</w:t>
      </w:r>
      <w:r w:rsidR="00AC4CA0" w:rsidRPr="00BD5B2E">
        <w:t xml:space="preserve">. </w:t>
      </w:r>
      <w:r w:rsidR="00461B62">
        <w:t>Nažalost, iz teksta predloženih amandmana nije moguće razlučiti ovu povezanost i dodatne krivične elemente</w:t>
      </w:r>
      <w:r w:rsidR="00AC4CA0" w:rsidRPr="00BD5B2E">
        <w:t>.</w:t>
      </w:r>
    </w:p>
    <w:p w14:paraId="2E33C1E1" w14:textId="77777777" w:rsidR="00614E69" w:rsidRPr="00BD5B2E" w:rsidRDefault="005B5F69">
      <w:pPr>
        <w:pStyle w:val="Heading10"/>
        <w:keepNext/>
        <w:keepLines/>
        <w:shd w:val="clear" w:color="auto" w:fill="auto"/>
      </w:pPr>
      <w:r>
        <w:t>Zaštita mišljenja</w:t>
      </w:r>
    </w:p>
    <w:p w14:paraId="12A1ABBC" w14:textId="073CF875" w:rsidR="00614E69" w:rsidRPr="00BD5B2E" w:rsidRDefault="005B5F69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spacing w:after="120"/>
        <w:ind w:left="440" w:hanging="440"/>
        <w:jc w:val="both"/>
      </w:pPr>
      <w:r>
        <w:t xml:space="preserve">Organizacija </w:t>
      </w:r>
      <w:r w:rsidR="00AC4CA0" w:rsidRPr="005B5F69">
        <w:rPr>
          <w:i/>
        </w:rPr>
        <w:t>ARTICLE 19</w:t>
      </w:r>
      <w:r w:rsidR="00AC4CA0" w:rsidRPr="00BD5B2E">
        <w:t xml:space="preserve"> </w:t>
      </w:r>
      <w:r>
        <w:t xml:space="preserve">smatra da se izražavanje mišljenja i vrednosni sud razlikuju od opisa činjenica i da tu razliku </w:t>
      </w:r>
      <w:r w:rsidR="001265E8">
        <w:t xml:space="preserve">treba da </w:t>
      </w:r>
      <w:r w:rsidR="001B2A44">
        <w:t xml:space="preserve">bude </w:t>
      </w:r>
      <w:r w:rsidR="001265E8">
        <w:t>prepozna</w:t>
      </w:r>
      <w:r w:rsidR="001B2A44">
        <w:t>ta</w:t>
      </w:r>
      <w:r>
        <w:t xml:space="preserve"> </w:t>
      </w:r>
      <w:r w:rsidR="001B2A44">
        <w:t xml:space="preserve">u </w:t>
      </w:r>
      <w:r>
        <w:t>domaće</w:t>
      </w:r>
      <w:r w:rsidR="001B2A44">
        <w:t>m</w:t>
      </w:r>
      <w:r>
        <w:t xml:space="preserve"> zakonodavstv</w:t>
      </w:r>
      <w:r w:rsidR="001B2A44">
        <w:t>u</w:t>
      </w:r>
      <w:r w:rsidR="00AC4CA0" w:rsidRPr="00BD5B2E">
        <w:t xml:space="preserve">. </w:t>
      </w:r>
      <w:r>
        <w:t>Dok se opis činjenica može posmatrati u svetlu svoje istinitosti, vrednosni sud i mišljenja ne mogu se posmatrati na isti način</w:t>
      </w:r>
      <w:r w:rsidR="00AC4CA0" w:rsidRPr="00BD5B2E">
        <w:t>.</w:t>
      </w:r>
    </w:p>
    <w:p w14:paraId="5F45FA5A" w14:textId="35223B24" w:rsidR="00614E69" w:rsidRPr="00BD5B2E" w:rsidRDefault="00681C70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ind w:left="440" w:hanging="440"/>
        <w:jc w:val="both"/>
      </w:pPr>
      <w:r>
        <w:t xml:space="preserve">U okviru evropskog i međunarodnog prava odavno je utvrđeno da svako mišljenje ima </w:t>
      </w:r>
      <w:r>
        <w:lastRenderedPageBreak/>
        <w:t xml:space="preserve">pravo na pojačanu zaštitu u okviru </w:t>
      </w:r>
      <w:r w:rsidR="00A0395D">
        <w:t>zagarantovanosti</w:t>
      </w:r>
      <w:r w:rsidR="00784688">
        <w:t xml:space="preserve"> prava</w:t>
      </w:r>
      <w:r>
        <w:t xml:space="preserve"> na slobodu izražavanja</w:t>
      </w:r>
      <w:r w:rsidR="00AC4CA0" w:rsidRPr="00BD5B2E">
        <w:t xml:space="preserve">. </w:t>
      </w:r>
      <w:r>
        <w:t>Iako se u okviru prava ljudskih prava ne pruža apsolutna zaštita izražavanja mišljenja,</w:t>
      </w:r>
      <w:r w:rsidR="0011128C">
        <w:t xml:space="preserve"> jer se zahteva bar neka činjenična osnova, u praksi je dozvoljeno dosta slobode</w:t>
      </w:r>
      <w:r w:rsidR="00AC4CA0" w:rsidRPr="00BD5B2E">
        <w:t xml:space="preserve">. </w:t>
      </w:r>
      <w:r w:rsidR="0011128C">
        <w:t xml:space="preserve">U sudovima širom sveta, međunarodnim i domaćim, stalno se pravi razlika između mišljenja i opisa činjenica, jer </w:t>
      </w:r>
      <w:r w:rsidR="0088716A">
        <w:t>je mnogo veća širina dozvoljena kada je reč o mišljenju</w:t>
      </w:r>
      <w:r w:rsidR="00AC4CA0" w:rsidRPr="00BD5B2E">
        <w:t xml:space="preserve">. </w:t>
      </w:r>
      <w:r w:rsidR="0011128C">
        <w:t>Sudovi termin „mišljenje“ tumače veoma slobodno i dozvoljavaju da odbrana mišljenja bude poražena samo onda kada je jasno da optuženi nije zaista zastupao to mišljenje</w:t>
      </w:r>
      <w:r w:rsidR="00AC4CA0" w:rsidRPr="00BD5B2E">
        <w:t>.</w:t>
      </w:r>
      <w:r w:rsidR="0011128C">
        <w:rPr>
          <w:rStyle w:val="FootnoteReference"/>
        </w:rPr>
        <w:footnoteReference w:id="6"/>
      </w:r>
      <w:r w:rsidR="00AC4CA0" w:rsidRPr="00BD5B2E">
        <w:t xml:space="preserve"> </w:t>
      </w:r>
      <w:r w:rsidR="0011128C">
        <w:t>Osim toga, u nekim slučajevima izražavanj</w:t>
      </w:r>
      <w:r w:rsidR="001B2A44">
        <w:t>a</w:t>
      </w:r>
      <w:r w:rsidR="0011128C">
        <w:t xml:space="preserve"> mišljenja </w:t>
      </w:r>
      <w:r w:rsidR="001B2A44">
        <w:t>se i očekuj</w:t>
      </w:r>
      <w:r w:rsidR="004D29A3">
        <w:t xml:space="preserve">e </w:t>
      </w:r>
      <w:r w:rsidR="0088716A">
        <w:t xml:space="preserve">da dođe do </w:t>
      </w:r>
      <w:r w:rsidR="00BC5DC1">
        <w:t xml:space="preserve">teških reči i oštrih kritika, naročito kada je reč o kontroverznim pitanjima </w:t>
      </w:r>
      <w:r w:rsidR="0088716A">
        <w:t>u okviru javnih polemika</w:t>
      </w:r>
      <w:r w:rsidR="00BC5DC1">
        <w:t xml:space="preserve"> ili pitanjima od javnog interesa</w:t>
      </w:r>
      <w:r w:rsidR="00AC4CA0" w:rsidRPr="00BD5B2E">
        <w:t>.</w:t>
      </w:r>
      <w:r w:rsidR="0011128C">
        <w:rPr>
          <w:rStyle w:val="FootnoteReference"/>
        </w:rPr>
        <w:footnoteReference w:id="7"/>
      </w:r>
    </w:p>
    <w:p w14:paraId="1AA22B3C" w14:textId="7D43914B" w:rsidR="00614E69" w:rsidRPr="00BD5B2E" w:rsidRDefault="00BC5DC1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spacing w:after="560"/>
        <w:ind w:left="440" w:hanging="440"/>
        <w:jc w:val="both"/>
      </w:pPr>
      <w:r>
        <w:t xml:space="preserve">Organizacija </w:t>
      </w:r>
      <w:r w:rsidR="00AC4CA0" w:rsidRPr="00BC5DC1">
        <w:rPr>
          <w:i/>
        </w:rPr>
        <w:t>ARTICLE 19</w:t>
      </w:r>
      <w:r w:rsidR="00AC4CA0" w:rsidRPr="00BD5B2E">
        <w:t xml:space="preserve"> </w:t>
      </w:r>
      <w:r>
        <w:t>smatra da izražavanje mišljenja n</w:t>
      </w:r>
      <w:r w:rsidR="00332A80">
        <w:t xml:space="preserve">e treba nikada da podleže toj </w:t>
      </w:r>
      <w:r>
        <w:t xml:space="preserve">vrsti odgovornosti, i da takve izjave </w:t>
      </w:r>
      <w:r w:rsidR="004D29A3">
        <w:t xml:space="preserve">u najmanju ruku </w:t>
      </w:r>
      <w:r>
        <w:t>treba da dobiju mogućnost pojačane zaštite u okviru zakona koji regulišu pitanje klevete</w:t>
      </w:r>
      <w:r w:rsidR="00AC4CA0" w:rsidRPr="00BD5B2E">
        <w:t>.</w:t>
      </w:r>
    </w:p>
    <w:p w14:paraId="5A615CC9" w14:textId="77777777" w:rsidR="00614E69" w:rsidRPr="00BD5B2E" w:rsidRDefault="00AC0A0D">
      <w:pPr>
        <w:pStyle w:val="Heading10"/>
        <w:keepNext/>
        <w:keepLines/>
        <w:shd w:val="clear" w:color="auto" w:fill="auto"/>
      </w:pPr>
      <w:r>
        <w:t>Zaštita od uvred</w:t>
      </w:r>
      <w:r w:rsidR="00230263">
        <w:t>e</w:t>
      </w:r>
    </w:p>
    <w:p w14:paraId="64316981" w14:textId="73A19726" w:rsidR="00614E69" w:rsidRPr="00BD5B2E" w:rsidRDefault="00AC0A0D" w:rsidP="00AC0A0D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ind w:left="440" w:hanging="440"/>
        <w:jc w:val="both"/>
      </w:pPr>
      <w:r>
        <w:t xml:space="preserve">Organizacija </w:t>
      </w:r>
      <w:r w:rsidR="00AC4CA0" w:rsidRPr="00AC0A0D">
        <w:rPr>
          <w:i/>
        </w:rPr>
        <w:t>ARTICLE 19</w:t>
      </w:r>
      <w:r w:rsidR="00AC4CA0" w:rsidRPr="00BD5B2E">
        <w:t xml:space="preserve"> </w:t>
      </w:r>
      <w:r w:rsidR="004D29A3">
        <w:t xml:space="preserve">primećuje </w:t>
      </w:r>
      <w:r>
        <w:t xml:space="preserve">da se u okviru člana 170. </w:t>
      </w:r>
      <w:r w:rsidR="004D29A3">
        <w:t xml:space="preserve">propisuje </w:t>
      </w:r>
      <w:r>
        <w:t>krivično delo uvrede i da se u okviru ovih izmena pažljivo razmatraju ozbiljni oblici uvreda kako bi se uvrede protiv novinara proglasile krivičnim delima koja se gone po službenoj dužnosti</w:t>
      </w:r>
      <w:r w:rsidR="00AC4CA0" w:rsidRPr="00BD5B2E">
        <w:rPr>
          <w:i/>
          <w:iCs/>
          <w:color w:val="0E101A"/>
        </w:rPr>
        <w:t>,</w:t>
      </w:r>
      <w:r w:rsidR="00AC4CA0" w:rsidRPr="00BD5B2E">
        <w:rPr>
          <w:color w:val="0E101A"/>
        </w:rPr>
        <w:t xml:space="preserve"> </w:t>
      </w:r>
      <w:r>
        <w:rPr>
          <w:color w:val="0E101A"/>
        </w:rPr>
        <w:t>a ne putem privatne tužbe</w:t>
      </w:r>
      <w:r w:rsidR="00AC4CA0" w:rsidRPr="00BD5B2E">
        <w:rPr>
          <w:color w:val="0E101A"/>
        </w:rPr>
        <w:t xml:space="preserve">. </w:t>
      </w:r>
      <w:r>
        <w:t>U predlogu se takođe utvrđuje da se u okviru domaće sudske prakse tumače koncepti „</w:t>
      </w:r>
      <w:r w:rsidRPr="00AC0A0D">
        <w:t>zlostavljanj</w:t>
      </w:r>
      <w:r>
        <w:t>a</w:t>
      </w:r>
      <w:r w:rsidRPr="00AC0A0D">
        <w:t>, drsk</w:t>
      </w:r>
      <w:r>
        <w:t>og</w:t>
      </w:r>
      <w:r w:rsidRPr="00AC0A0D">
        <w:t xml:space="preserve"> ili bezobzirn</w:t>
      </w:r>
      <w:r>
        <w:t>og</w:t>
      </w:r>
      <w:r w:rsidRPr="00AC0A0D">
        <w:t xml:space="preserve"> ponašanj</w:t>
      </w:r>
      <w:r>
        <w:t>a“.</w:t>
      </w:r>
    </w:p>
    <w:p w14:paraId="56A95593" w14:textId="19308BBC" w:rsidR="00614E69" w:rsidRPr="00BD5B2E" w:rsidRDefault="00AC0A0D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ind w:left="440" w:hanging="440"/>
        <w:jc w:val="both"/>
      </w:pPr>
      <w:r>
        <w:t xml:space="preserve">Organizacija </w:t>
      </w:r>
      <w:r w:rsidR="00AC4CA0" w:rsidRPr="00AC0A0D">
        <w:rPr>
          <w:i/>
        </w:rPr>
        <w:t>ARTICLE 19</w:t>
      </w:r>
      <w:r w:rsidR="00AC4CA0" w:rsidRPr="00BD5B2E">
        <w:t xml:space="preserve"> </w:t>
      </w:r>
      <w:r>
        <w:t xml:space="preserve">nije imala uvid u to kako su ove koncepte tumačili sudovi i da </w:t>
      </w:r>
      <w:r w:rsidR="00E111C6">
        <w:t xml:space="preserve">li </w:t>
      </w:r>
      <w:r>
        <w:t>ovo tumačenje znači da je test zakonitosti (jasnoće zakona) ispunjen</w:t>
      </w:r>
      <w:r w:rsidR="00AC4CA0" w:rsidRPr="00BD5B2E">
        <w:t xml:space="preserve">. </w:t>
      </w:r>
      <w:r>
        <w:t xml:space="preserve">Međutim, mi naglašavamo da u okviru međunarodnih standarda slobode izražavanja, države mogu zaštiti stanovništvo samo od </w:t>
      </w:r>
      <w:r w:rsidRPr="00AC0A0D">
        <w:rPr>
          <w:i/>
        </w:rPr>
        <w:t>netačnih</w:t>
      </w:r>
      <w:r>
        <w:t xml:space="preserve"> opisa činjenica</w:t>
      </w:r>
      <w:r w:rsidR="00AC4CA0" w:rsidRPr="00BD5B2E">
        <w:t xml:space="preserve"> </w:t>
      </w:r>
      <w:r>
        <w:t>koje izazivaju štetu ugled</w:t>
      </w:r>
      <w:r w:rsidR="00542591">
        <w:t>u</w:t>
      </w:r>
      <w:r w:rsidR="00AC4CA0" w:rsidRPr="00BD5B2E">
        <w:t xml:space="preserve">. </w:t>
      </w:r>
      <w:r>
        <w:t>Nije legitimno štititi subjektivna osećanja ili subjektivno razumevanje osećaja časti neke ličnosti</w:t>
      </w:r>
      <w:r w:rsidR="00AC4CA0" w:rsidRPr="00BD5B2E">
        <w:t>.</w:t>
      </w:r>
      <w:r w:rsidR="0011128C">
        <w:rPr>
          <w:rStyle w:val="FootnoteReference"/>
        </w:rPr>
        <w:footnoteReference w:id="8"/>
      </w:r>
      <w:r w:rsidR="00AC4CA0" w:rsidRPr="00BD5B2E">
        <w:t xml:space="preserve"> </w:t>
      </w:r>
      <w:r w:rsidR="00292713">
        <w:t xml:space="preserve">Iz tih razloga, s obzirom na to da zagovaramo da se kleveta </w:t>
      </w:r>
      <w:r w:rsidR="004D29A3">
        <w:t xml:space="preserve">razmatra </w:t>
      </w:r>
      <w:r w:rsidR="00292713">
        <w:t xml:space="preserve">u okviru građanskog prava, </w:t>
      </w:r>
      <w:r w:rsidR="00D82A06">
        <w:t>tvrdimo</w:t>
      </w:r>
      <w:r w:rsidR="00292713">
        <w:t xml:space="preserve"> da </w:t>
      </w:r>
      <w:r w:rsidR="00D82A06">
        <w:t xml:space="preserve">treba staviti van snage </w:t>
      </w:r>
      <w:r w:rsidR="00292713">
        <w:t>s</w:t>
      </w:r>
      <w:r w:rsidR="00D82A06">
        <w:t>ve zakone</w:t>
      </w:r>
      <w:r w:rsidR="00292713">
        <w:t xml:space="preserve"> kojima se obezbeđuje zaštita „uvred</w:t>
      </w:r>
      <w:r w:rsidR="001519EB">
        <w:t>e</w:t>
      </w:r>
      <w:r w:rsidR="00292713">
        <w:t xml:space="preserve">“ ili sličnih koncepata. Jednostavno rečeno, štiti se govor koji predstavlja kritiku i nepopularna mišljenja o novinarima i medijima, ali ne i pretnje koje mogu </w:t>
      </w:r>
      <w:r w:rsidR="00000E05">
        <w:t>dovesti</w:t>
      </w:r>
      <w:r w:rsidR="00292713">
        <w:t xml:space="preserve"> do povrede fizičke bezbednosti novinara</w:t>
      </w:r>
      <w:r w:rsidR="00AC4CA0" w:rsidRPr="00BD5B2E">
        <w:t>.</w:t>
      </w:r>
    </w:p>
    <w:p w14:paraId="3944CED4" w14:textId="18E764F1" w:rsidR="00614E69" w:rsidRPr="00BD5B2E" w:rsidRDefault="00257A64" w:rsidP="00B26A0D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spacing w:after="360"/>
        <w:ind w:left="442" w:hanging="442"/>
        <w:jc w:val="both"/>
      </w:pPr>
      <w:r>
        <w:t>U vezi sa prethodno navedenim</w:t>
      </w:r>
      <w:r w:rsidR="00AC4CA0" w:rsidRPr="00BD5B2E">
        <w:t xml:space="preserve">, </w:t>
      </w:r>
      <w:r>
        <w:t xml:space="preserve">organizacija </w:t>
      </w:r>
      <w:r w:rsidR="00AC4CA0" w:rsidRPr="00257A64">
        <w:rPr>
          <w:i/>
        </w:rPr>
        <w:t>ARTICLE 19</w:t>
      </w:r>
      <w:r w:rsidR="00AC4CA0" w:rsidRPr="00BD5B2E">
        <w:t xml:space="preserve"> </w:t>
      </w:r>
      <w:r w:rsidR="00432B43">
        <w:t>apeluje da radna grupa zaista</w:t>
      </w:r>
      <w:r w:rsidR="00432B43" w:rsidRPr="00432B43">
        <w:t xml:space="preserve"> razmotri povlačenje predloženih izmena i dopuna</w:t>
      </w:r>
      <w:r>
        <w:t>.</w:t>
      </w:r>
      <w:r w:rsidR="00AC4CA0" w:rsidRPr="00BD5B2E">
        <w:t xml:space="preserve"> </w:t>
      </w:r>
      <w:r>
        <w:t>Radna grupa treba da</w:t>
      </w:r>
      <w:r w:rsidR="007A424C">
        <w:t xml:space="preserve"> uzme u obzir </w:t>
      </w:r>
      <w:r>
        <w:t>ostale preventivne, zaštite i istražne mere usmerene na p</w:t>
      </w:r>
      <w:r w:rsidR="00CC3AB4">
        <w:t xml:space="preserve">rocesna ograničenja </w:t>
      </w:r>
      <w:r w:rsidR="00277E7E">
        <w:t xml:space="preserve">u </w:t>
      </w:r>
      <w:r w:rsidR="00CC3AB4">
        <w:t>istraživanj</w:t>
      </w:r>
      <w:r w:rsidR="00277E7E">
        <w:t>u</w:t>
      </w:r>
      <w:r>
        <w:t xml:space="preserve"> pretnji, uznemiravanj</w:t>
      </w:r>
      <w:r w:rsidR="00277E7E">
        <w:t>u</w:t>
      </w:r>
      <w:r>
        <w:t xml:space="preserve"> </w:t>
      </w:r>
      <w:r w:rsidR="003A3793">
        <w:t>i ostali</w:t>
      </w:r>
      <w:r w:rsidR="00277E7E">
        <w:t>m</w:t>
      </w:r>
      <w:r w:rsidR="003A3793">
        <w:t xml:space="preserve"> obli</w:t>
      </w:r>
      <w:r w:rsidR="00277E7E">
        <w:t>cima</w:t>
      </w:r>
      <w:r w:rsidR="003A3793">
        <w:t xml:space="preserve"> ozbiljnih napada na novinare. </w:t>
      </w:r>
      <w:r w:rsidR="003A3793" w:rsidRPr="007A424C">
        <w:t xml:space="preserve">Mi smatramo da treba razmotriti postojeća </w:t>
      </w:r>
      <w:r w:rsidR="003A3793" w:rsidRPr="006C60E3">
        <w:t xml:space="preserve">krivična dela </w:t>
      </w:r>
      <w:r w:rsidR="0010380E" w:rsidRPr="006C60E3">
        <w:t xml:space="preserve">koja nisu u </w:t>
      </w:r>
      <w:r w:rsidR="00496BC4" w:rsidRPr="006C60E3">
        <w:t xml:space="preserve">direktnoj </w:t>
      </w:r>
      <w:r w:rsidR="0010380E" w:rsidRPr="006C60E3">
        <w:t>vezi sa slobodom izražavanja</w:t>
      </w:r>
      <w:r w:rsidR="0010380E">
        <w:t xml:space="preserve"> </w:t>
      </w:r>
      <w:r w:rsidR="003A3793" w:rsidRPr="007A424C">
        <w:t xml:space="preserve">kako bi se identifikovali strukturni problemi kojima se onemogućavaju gonjenja po službenoj dužnosti i zahteva se da novinari i mediji pokrenu </w:t>
      </w:r>
      <w:r w:rsidR="00B26A0D" w:rsidRPr="007A424C">
        <w:lastRenderedPageBreak/>
        <w:t>p</w:t>
      </w:r>
      <w:r w:rsidR="00B26A0D">
        <w:t>ostupke</w:t>
      </w:r>
      <w:r w:rsidR="003A3793" w:rsidRPr="007A424C">
        <w:t xml:space="preserve"> i istražne radnje </w:t>
      </w:r>
      <w:r w:rsidR="00FE5C94">
        <w:t>da bi se utvrdila odgovornost</w:t>
      </w:r>
      <w:r w:rsidR="003A3793" w:rsidRPr="007A424C">
        <w:t xml:space="preserve"> (privatne tužbe).</w:t>
      </w:r>
    </w:p>
    <w:p w14:paraId="1FBF8079" w14:textId="77777777" w:rsidR="00614E69" w:rsidRPr="00BD5B2E" w:rsidRDefault="00EF0A23">
      <w:pPr>
        <w:pStyle w:val="Heading10"/>
        <w:keepNext/>
        <w:keepLines/>
        <w:shd w:val="clear" w:color="auto" w:fill="auto"/>
      </w:pPr>
      <w:r>
        <w:t>Zaključci</w:t>
      </w:r>
    </w:p>
    <w:p w14:paraId="10B05330" w14:textId="20E34E35" w:rsidR="00614E69" w:rsidRPr="00BD5B2E" w:rsidRDefault="00AC4CA0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spacing w:after="280"/>
        <w:ind w:left="440" w:hanging="440"/>
        <w:jc w:val="both"/>
      </w:pPr>
      <w:r w:rsidRPr="002C4F9D">
        <w:rPr>
          <w:i/>
        </w:rPr>
        <w:t>ARTICLE 19</w:t>
      </w:r>
      <w:r w:rsidRPr="00BD5B2E">
        <w:t xml:space="preserve"> </w:t>
      </w:r>
      <w:r w:rsidR="007A424C">
        <w:t>uviđa da novinari u Srbiji sve više postaju mete koordinisanih i neko</w:t>
      </w:r>
      <w:r w:rsidR="00496BC4">
        <w:t>o</w:t>
      </w:r>
      <w:r w:rsidR="007A424C">
        <w:t>rdinisanih onlajn napada</w:t>
      </w:r>
      <w:r w:rsidRPr="00BD5B2E">
        <w:t xml:space="preserve">, </w:t>
      </w:r>
      <w:r w:rsidR="007A424C">
        <w:t>a da različiti oblici onlajn uznemiravanja potencijalno mogu da eskaliraju</w:t>
      </w:r>
      <w:r w:rsidRPr="00BD5B2E">
        <w:t xml:space="preserve"> </w:t>
      </w:r>
      <w:r w:rsidR="007A424C">
        <w:t xml:space="preserve">i ugroze fizički integritet pojedinaca. Osim toga, predložene izmene su veoma opšte, zasnivaju se na problematičnim konceptima i na kraju mogu dovesti do sankcija </w:t>
      </w:r>
      <w:r w:rsidR="005A238C">
        <w:t>koje su na štetu</w:t>
      </w:r>
      <w:r w:rsidR="007A424C">
        <w:t xml:space="preserve"> novinara. Na primer, može</w:t>
      </w:r>
      <w:r w:rsidR="00FE3226">
        <w:t xml:space="preserve"> se</w:t>
      </w:r>
      <w:r w:rsidR="007A424C">
        <w:t xml:space="preserve"> zamisliti da se ove izmene mogu koristiti protiv onih kojih kritikuju političare</w:t>
      </w:r>
      <w:r w:rsidRPr="00BD5B2E">
        <w:t xml:space="preserve"> (</w:t>
      </w:r>
      <w:r w:rsidR="007A424C">
        <w:t>npr</w:t>
      </w:r>
      <w:r w:rsidRPr="00BD5B2E">
        <w:t xml:space="preserve">. </w:t>
      </w:r>
      <w:r w:rsidR="007A424C">
        <w:t>ako političar</w:t>
      </w:r>
      <w:r w:rsidR="00FE3226">
        <w:t>/ka</w:t>
      </w:r>
      <w:r w:rsidR="007A424C">
        <w:t xml:space="preserve"> nešto objavi na svom blogu ili sajtu i zbog toga bude iskritikovan/a</w:t>
      </w:r>
      <w:r w:rsidRPr="00BD5B2E">
        <w:t>).</w:t>
      </w:r>
    </w:p>
    <w:p w14:paraId="577418E0" w14:textId="5930D108" w:rsidR="00614E69" w:rsidRPr="00BD5B2E" w:rsidRDefault="002415C3" w:rsidP="00B16008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spacing w:after="280"/>
        <w:ind w:left="440" w:hanging="440"/>
        <w:jc w:val="both"/>
      </w:pPr>
      <w:r>
        <w:t xml:space="preserve">Mi u potpunosti razumemo </w:t>
      </w:r>
      <w:r w:rsidR="00AF139A">
        <w:t>šta je motivacija na kojoj se zasniva ovaj predlog</w:t>
      </w:r>
      <w:r>
        <w:t>. Međutim, pitanje je da li je ovakvo zakonodavstvo koje se trenutno predlaže zaista potrebno, ili postoje i druge odgovarajuće i efikasne mere da se poboljša bezbednost novinara i unaprede njihovi uslovi rada u zemlji</w:t>
      </w:r>
      <w:r w:rsidR="00AC4CA0" w:rsidRPr="00BD5B2E">
        <w:t xml:space="preserve">. </w:t>
      </w:r>
      <w:r>
        <w:t xml:space="preserve">S obzirom na to da zloupotreba i uznemiravanje </w:t>
      </w:r>
      <w:r w:rsidR="00B16008">
        <w:t>mogu obeshrabriti pravo na slobodu izražavanja novinara i javnu debatu, mi verujemo da zakonodavstvo uvek mora da bude striktno u skladu sa zahtevima nužnosti i srazmernost</w:t>
      </w:r>
      <w:r w:rsidR="005427A7">
        <w:t>i</w:t>
      </w:r>
      <w:r w:rsidR="00B16008">
        <w:t xml:space="preserve"> međunarodnih standarda ljudskih prava</w:t>
      </w:r>
      <w:r w:rsidR="00AC4CA0" w:rsidRPr="00BD5B2E">
        <w:t xml:space="preserve">. </w:t>
      </w:r>
      <w:r w:rsidR="00B16008">
        <w:t>Pored ovih zahteva moraju se poštovati i druge mere, uključujući i povećanje resursa i obuku policijskih službenika, tužilaca i sudija i ukidan</w:t>
      </w:r>
      <w:r w:rsidR="00F54C93">
        <w:t>je</w:t>
      </w:r>
      <w:r w:rsidR="00B16008">
        <w:t xml:space="preserve"> krimina</w:t>
      </w:r>
      <w:r w:rsidR="005A238C">
        <w:t xml:space="preserve">lizacije </w:t>
      </w:r>
      <w:r w:rsidR="00B16008">
        <w:t xml:space="preserve">uvrede </w:t>
      </w:r>
      <w:r w:rsidR="009436A7">
        <w:t>iz</w:t>
      </w:r>
      <w:r w:rsidR="00B16008">
        <w:t xml:space="preserve"> član</w:t>
      </w:r>
      <w:r w:rsidR="009436A7">
        <w:t>a</w:t>
      </w:r>
      <w:r w:rsidR="00B16008">
        <w:t xml:space="preserve"> 170. Krivičnog zakonika</w:t>
      </w:r>
      <w:r w:rsidR="00AC4CA0" w:rsidRPr="00BD5B2E">
        <w:t xml:space="preserve">. </w:t>
      </w:r>
      <w:r w:rsidR="00B16008">
        <w:t xml:space="preserve">Organizacija </w:t>
      </w:r>
      <w:r w:rsidR="00AC4CA0" w:rsidRPr="00B16008">
        <w:rPr>
          <w:i/>
        </w:rPr>
        <w:t>ARTICLE 19</w:t>
      </w:r>
      <w:r w:rsidR="00B16008">
        <w:rPr>
          <w:i/>
        </w:rPr>
        <w:t xml:space="preserve"> </w:t>
      </w:r>
      <w:r w:rsidR="00B16008">
        <w:t>smatra da te mere predstavljaju bolje načine zaštite novinara od onih koje su trenutno predstavljene u izmenama</w:t>
      </w:r>
      <w:r w:rsidR="00AC4CA0" w:rsidRPr="00BD5B2E">
        <w:t xml:space="preserve">. </w:t>
      </w:r>
      <w:r w:rsidR="00B16008">
        <w:t>Osim toga, zaštita novinara neizostavno zahteva potpunu zaštitu ljudskih prava novinara kao ljudskih prava za sve, naročito prava na slobodu izražavanja, na kojima počiva njihova profesija i od kojih zavisi zdrava demokratija</w:t>
      </w:r>
      <w:r w:rsidR="00AC4CA0" w:rsidRPr="00BD5B2E">
        <w:t>.</w:t>
      </w:r>
    </w:p>
    <w:p w14:paraId="1BEB2B4F" w14:textId="77777777" w:rsidR="00614E69" w:rsidRPr="00BD5B2E" w:rsidRDefault="00614E69">
      <w:pPr>
        <w:jc w:val="center"/>
        <w:rPr>
          <w:sz w:val="2"/>
          <w:szCs w:val="2"/>
        </w:rPr>
      </w:pPr>
    </w:p>
    <w:sectPr w:rsidR="00614E69" w:rsidRPr="00BD5B2E" w:rsidSect="00C60BE2">
      <w:type w:val="continuous"/>
      <w:pgSz w:w="12149" w:h="17317"/>
      <w:pgMar w:top="1843" w:right="1778" w:bottom="2269" w:left="17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3DCE" w14:textId="77777777" w:rsidR="000D7908" w:rsidRDefault="000D7908">
      <w:r>
        <w:separator/>
      </w:r>
    </w:p>
  </w:endnote>
  <w:endnote w:type="continuationSeparator" w:id="0">
    <w:p w14:paraId="062CA5E3" w14:textId="77777777" w:rsidR="000D7908" w:rsidRDefault="000D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2389" w14:textId="77777777" w:rsidR="000D7908" w:rsidRDefault="000D7908">
      <w:r>
        <w:separator/>
      </w:r>
    </w:p>
  </w:footnote>
  <w:footnote w:type="continuationSeparator" w:id="0">
    <w:p w14:paraId="14A9F283" w14:textId="77777777" w:rsidR="000D7908" w:rsidRDefault="000D7908">
      <w:r>
        <w:continuationSeparator/>
      </w:r>
    </w:p>
  </w:footnote>
  <w:footnote w:id="1">
    <w:p w14:paraId="3DDB9FB8" w14:textId="77777777" w:rsidR="005B5F69" w:rsidRPr="00751B2C" w:rsidRDefault="005B5F69">
      <w:pPr>
        <w:pStyle w:val="Footnote0"/>
        <w:shd w:val="clear" w:color="auto" w:fill="auto"/>
        <w:tabs>
          <w:tab w:val="left" w:pos="130"/>
        </w:tabs>
        <w:jc w:val="both"/>
      </w:pPr>
      <w:r w:rsidRPr="00751B2C">
        <w:rPr>
          <w:vertAlign w:val="superscript"/>
        </w:rPr>
        <w:footnoteRef/>
      </w:r>
      <w:r w:rsidRPr="00751B2C">
        <w:rPr>
          <w:color w:val="000000"/>
        </w:rPr>
        <w:tab/>
      </w:r>
      <w:r>
        <w:t>Slobodna medija brz odgovor</w:t>
      </w:r>
      <w:r w:rsidRPr="00751B2C">
        <w:t xml:space="preserve"> (</w:t>
      </w:r>
      <w:r w:rsidRPr="003D151C">
        <w:rPr>
          <w:i/>
        </w:rPr>
        <w:t>MFRR</w:t>
      </w:r>
      <w:r w:rsidRPr="00751B2C">
        <w:t xml:space="preserve">) </w:t>
      </w:r>
      <w:r>
        <w:t>vodi evidenciju, prati i reaguje na povrede medijskih i novinarskih sloboda u državama članicama EU i državama kandidatima</w:t>
      </w:r>
      <w:r w:rsidRPr="00751B2C">
        <w:t xml:space="preserve">. </w:t>
      </w:r>
      <w:r>
        <w:t>U okviru ovog projekta pruža se pravna i praktična podrška, sprovodi javno zagovaranje i informisanje da bi se zaštitili novinari i medijski radnici</w:t>
      </w:r>
      <w:r w:rsidRPr="00751B2C">
        <w:t xml:space="preserve">. </w:t>
      </w:r>
      <w:r w:rsidRPr="00751B2C">
        <w:rPr>
          <w:i/>
        </w:rPr>
        <w:t>MFRR</w:t>
      </w:r>
      <w:r w:rsidRPr="00751B2C">
        <w:t xml:space="preserve"> </w:t>
      </w:r>
      <w:r>
        <w:t>je konzorcijum koji predvodi</w:t>
      </w:r>
      <w:r w:rsidRPr="00751B2C">
        <w:t xml:space="preserve"> </w:t>
      </w:r>
      <w:r w:rsidRPr="000F3697">
        <w:t>Evropski centar za medije i medijske slobode</w:t>
      </w:r>
      <w:r w:rsidRPr="00751B2C">
        <w:t xml:space="preserve"> (ECPMF) </w:t>
      </w:r>
      <w:r>
        <w:t>uključujući i</w:t>
      </w:r>
      <w:r w:rsidRPr="00751B2C">
        <w:t xml:space="preserve"> </w:t>
      </w:r>
      <w:r w:rsidRPr="00DB6F3A">
        <w:rPr>
          <w:i/>
        </w:rPr>
        <w:t>ARTICLE 19</w:t>
      </w:r>
      <w:r w:rsidRPr="00751B2C">
        <w:t xml:space="preserve">, </w:t>
      </w:r>
      <w:r>
        <w:t xml:space="preserve">a tu su i </w:t>
      </w:r>
      <w:r>
        <w:rPr>
          <w:color w:val="0A0A0A"/>
          <w:highlight w:val="white"/>
        </w:rPr>
        <w:t xml:space="preserve">Evropska federacija novinara </w:t>
      </w:r>
      <w:r w:rsidRPr="00751B2C">
        <w:t xml:space="preserve">(EFJ), </w:t>
      </w:r>
      <w:r>
        <w:rPr>
          <w:color w:val="0A0A0A"/>
        </w:rPr>
        <w:t>Neograničena sloboda štampe</w:t>
      </w:r>
      <w:r w:rsidRPr="00751B2C">
        <w:t xml:space="preserve"> (FPU), </w:t>
      </w:r>
      <w:r>
        <w:t>Institut za primenjenu informatiku Univerziteta u Lajpcigu</w:t>
      </w:r>
      <w:r w:rsidRPr="00751B2C">
        <w:t xml:space="preserve"> (InfAI), </w:t>
      </w:r>
      <w:r>
        <w:t>Međunarodni institut za štampu</w:t>
      </w:r>
      <w:r w:rsidRPr="00751B2C">
        <w:t xml:space="preserve"> (IPI) </w:t>
      </w:r>
      <w:r>
        <w:t>i</w:t>
      </w:r>
      <w:r w:rsidRPr="00751B2C">
        <w:t xml:space="preserve"> CCI/</w:t>
      </w:r>
      <w:r w:rsidRPr="000F3697">
        <w:rPr>
          <w:i/>
        </w:rPr>
        <w:t>Osservatorio Balcani e Caucaso Transeuropa</w:t>
      </w:r>
      <w:r w:rsidRPr="00751B2C">
        <w:t xml:space="preserve"> (OBCT). </w:t>
      </w:r>
      <w:r>
        <w:t>Projekat delimično finansira Evropska komisija</w:t>
      </w:r>
      <w:hyperlink r:id="rId1" w:history="1">
        <w:r w:rsidRPr="00751B2C">
          <w:t xml:space="preserve"> </w:t>
        </w:r>
        <w:r w:rsidRPr="00751B2C">
          <w:rPr>
            <w:color w:val="0000FF"/>
            <w:u w:val="single"/>
          </w:rPr>
          <w:t>www.mfrr.eu</w:t>
        </w:r>
      </w:hyperlink>
      <w:r w:rsidR="00934412">
        <w:rPr>
          <w:color w:val="0000FF"/>
          <w:u w:val="single"/>
        </w:rPr>
        <w:t>.</w:t>
      </w:r>
    </w:p>
  </w:footnote>
  <w:footnote w:id="2">
    <w:p w14:paraId="2D8B3D8C" w14:textId="77777777" w:rsidR="005B5F69" w:rsidRPr="00751B2C" w:rsidRDefault="005B5F69">
      <w:pPr>
        <w:pStyle w:val="Footnote0"/>
        <w:shd w:val="clear" w:color="auto" w:fill="auto"/>
        <w:tabs>
          <w:tab w:val="left" w:pos="110"/>
        </w:tabs>
        <w:jc w:val="both"/>
      </w:pPr>
      <w:r w:rsidRPr="00751B2C">
        <w:rPr>
          <w:vertAlign w:val="superscript"/>
        </w:rPr>
        <w:footnoteRef/>
      </w:r>
      <w:r w:rsidRPr="00751B2C">
        <w:rPr>
          <w:color w:val="000000"/>
        </w:rPr>
        <w:tab/>
      </w:r>
      <w:r w:rsidRPr="00751B2C">
        <w:rPr>
          <w:i/>
          <w:iCs/>
        </w:rPr>
        <w:t xml:space="preserve">Videti </w:t>
      </w:r>
      <w:r w:rsidRPr="00751B2C">
        <w:rPr>
          <w:iCs/>
        </w:rPr>
        <w:t>Komitet za ljudska prava UN</w:t>
      </w:r>
      <w:r w:rsidRPr="00751B2C">
        <w:t xml:space="preserve">, </w:t>
      </w:r>
      <w:r>
        <w:rPr>
          <w:i/>
          <w:iCs/>
        </w:rPr>
        <w:t>Opšti komentar br</w:t>
      </w:r>
      <w:r w:rsidRPr="00751B2C">
        <w:rPr>
          <w:i/>
          <w:iCs/>
        </w:rPr>
        <w:t xml:space="preserve">. 34 </w:t>
      </w:r>
      <w:r>
        <w:rPr>
          <w:i/>
          <w:iCs/>
        </w:rPr>
        <w:t>o pravu na slobodu izražavanja</w:t>
      </w:r>
      <w:r>
        <w:t xml:space="preserve">, 12. septembar </w:t>
      </w:r>
      <w:r w:rsidRPr="00751B2C">
        <w:t>2011</w:t>
      </w:r>
      <w:r>
        <w:t>. godine, st.</w:t>
      </w:r>
      <w:r w:rsidRPr="00751B2C">
        <w:t xml:space="preserve"> 22-25. </w:t>
      </w:r>
      <w:r>
        <w:t>Videti Evropski sud</w:t>
      </w:r>
      <w:r w:rsidRPr="00751B2C">
        <w:rPr>
          <w:color w:val="1E1E1E"/>
        </w:rPr>
        <w:t xml:space="preserve">, </w:t>
      </w:r>
      <w:r w:rsidRPr="00751B2C">
        <w:rPr>
          <w:i/>
          <w:iCs/>
          <w:color w:val="000000"/>
        </w:rPr>
        <w:t xml:space="preserve">Sunday Times </w:t>
      </w:r>
      <w:r>
        <w:rPr>
          <w:i/>
          <w:iCs/>
          <w:color w:val="000000"/>
        </w:rPr>
        <w:t>protiv Velike Britanije</w:t>
      </w:r>
      <w:r w:rsidRPr="00751B2C">
        <w:rPr>
          <w:i/>
          <w:iCs/>
          <w:color w:val="1E1E1E"/>
        </w:rPr>
        <w:t>,</w:t>
      </w:r>
      <w:r w:rsidRPr="00751B2C">
        <w:rPr>
          <w:color w:val="1E1E1E"/>
        </w:rPr>
        <w:t xml:space="preserve"> </w:t>
      </w:r>
      <w:r>
        <w:rPr>
          <w:color w:val="1E1E1E"/>
        </w:rPr>
        <w:t>predstavka br.</w:t>
      </w:r>
      <w:r w:rsidRPr="00751B2C">
        <w:rPr>
          <w:color w:val="000000"/>
        </w:rPr>
        <w:t xml:space="preserve"> 6538/74, </w:t>
      </w:r>
      <w:r>
        <w:rPr>
          <w:color w:val="1E1E1E"/>
        </w:rPr>
        <w:t>26. april</w:t>
      </w:r>
      <w:r w:rsidRPr="00751B2C">
        <w:rPr>
          <w:color w:val="1E1E1E"/>
        </w:rPr>
        <w:t xml:space="preserve"> 1979, </w:t>
      </w:r>
      <w:r>
        <w:rPr>
          <w:color w:val="000000"/>
        </w:rPr>
        <w:t>st.</w:t>
      </w:r>
      <w:r w:rsidRPr="00751B2C">
        <w:rPr>
          <w:color w:val="000000"/>
        </w:rPr>
        <w:t xml:space="preserve"> 49</w:t>
      </w:r>
      <w:r w:rsidRPr="00751B2C">
        <w:rPr>
          <w:color w:val="1E1E1E"/>
        </w:rPr>
        <w:t xml:space="preserve">; </w:t>
      </w:r>
      <w:r>
        <w:rPr>
          <w:color w:val="000000"/>
        </w:rPr>
        <w:t>Evropski sud</w:t>
      </w:r>
      <w:r w:rsidRPr="00751B2C">
        <w:rPr>
          <w:color w:val="000000"/>
        </w:rPr>
        <w:t xml:space="preserve">, </w:t>
      </w:r>
      <w:r w:rsidRPr="00751B2C">
        <w:rPr>
          <w:i/>
          <w:iCs/>
          <w:color w:val="000000"/>
        </w:rPr>
        <w:t xml:space="preserve">Observer &amp; Guardian </w:t>
      </w:r>
      <w:r>
        <w:rPr>
          <w:i/>
          <w:iCs/>
          <w:color w:val="000000"/>
        </w:rPr>
        <w:t>protiv</w:t>
      </w:r>
      <w:r w:rsidRPr="00751B2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Velike Britanije</w:t>
      </w:r>
      <w:r w:rsidRPr="00751B2C">
        <w:rPr>
          <w:i/>
          <w:iCs/>
          <w:color w:val="000000"/>
        </w:rPr>
        <w:t>,</w:t>
      </w:r>
      <w:r w:rsidRPr="00751B2C">
        <w:rPr>
          <w:color w:val="000000"/>
        </w:rPr>
        <w:t xml:space="preserve"> </w:t>
      </w:r>
      <w:r>
        <w:rPr>
          <w:color w:val="1E1E1E"/>
        </w:rPr>
        <w:t>predstavka br</w:t>
      </w:r>
      <w:r w:rsidRPr="00751B2C">
        <w:rPr>
          <w:color w:val="1E1E1E"/>
        </w:rPr>
        <w:t xml:space="preserve">. </w:t>
      </w:r>
      <w:r w:rsidRPr="00751B2C">
        <w:rPr>
          <w:color w:val="000000"/>
        </w:rPr>
        <w:t xml:space="preserve">13585/88, </w:t>
      </w:r>
      <w:r>
        <w:rPr>
          <w:color w:val="1E1E1E"/>
        </w:rPr>
        <w:t xml:space="preserve">26. novembar </w:t>
      </w:r>
      <w:r w:rsidRPr="00751B2C">
        <w:rPr>
          <w:color w:val="1E1E1E"/>
        </w:rPr>
        <w:t xml:space="preserve">1991, </w:t>
      </w:r>
      <w:r>
        <w:rPr>
          <w:color w:val="1E1E1E"/>
        </w:rPr>
        <w:t>st.</w:t>
      </w:r>
      <w:r w:rsidRPr="00751B2C">
        <w:rPr>
          <w:color w:val="1E1E1E"/>
        </w:rPr>
        <w:t xml:space="preserve"> 59.</w:t>
      </w:r>
    </w:p>
  </w:footnote>
  <w:footnote w:id="3">
    <w:p w14:paraId="51C4E652" w14:textId="77777777" w:rsidR="005B5F69" w:rsidRPr="00751B2C" w:rsidRDefault="005B5F69">
      <w:pPr>
        <w:pStyle w:val="Footnote0"/>
        <w:shd w:val="clear" w:color="auto" w:fill="auto"/>
        <w:tabs>
          <w:tab w:val="left" w:pos="101"/>
        </w:tabs>
      </w:pPr>
      <w:r w:rsidRPr="00751B2C">
        <w:rPr>
          <w:vertAlign w:val="superscript"/>
        </w:rPr>
        <w:footnoteRef/>
      </w:r>
      <w:r w:rsidRPr="00751B2C">
        <w:rPr>
          <w:color w:val="000000"/>
        </w:rPr>
        <w:tab/>
      </w:r>
      <w:r>
        <w:t>Opšti komentar</w:t>
      </w:r>
      <w:r w:rsidRPr="00751B2C">
        <w:t xml:space="preserve"> 34, </w:t>
      </w:r>
      <w:r w:rsidRPr="00751B2C">
        <w:rPr>
          <w:i/>
          <w:iCs/>
        </w:rPr>
        <w:t>op.cit.</w:t>
      </w:r>
      <w:r w:rsidRPr="00751B2C">
        <w:t xml:space="preserve">, </w:t>
      </w:r>
      <w:r>
        <w:t>stav</w:t>
      </w:r>
      <w:r w:rsidRPr="00751B2C">
        <w:t xml:space="preserve"> 11. </w:t>
      </w:r>
      <w:r>
        <w:t>Vide</w:t>
      </w:r>
      <w:r w:rsidR="001A7E88">
        <w:t>ti</w:t>
      </w:r>
      <w:r>
        <w:t xml:space="preserve"> isto Evropski sud, </w:t>
      </w:r>
      <w:r w:rsidRPr="00751B2C">
        <w:rPr>
          <w:i/>
          <w:iCs/>
        </w:rPr>
        <w:t xml:space="preserve">Handyside </w:t>
      </w:r>
      <w:r>
        <w:rPr>
          <w:i/>
          <w:iCs/>
        </w:rPr>
        <w:t>protiv</w:t>
      </w:r>
      <w:r w:rsidRPr="00751B2C">
        <w:rPr>
          <w:i/>
          <w:iCs/>
        </w:rPr>
        <w:t xml:space="preserve"> </w:t>
      </w:r>
      <w:r>
        <w:rPr>
          <w:iCs/>
        </w:rPr>
        <w:t>Ujedinjenog Kraljevstva</w:t>
      </w:r>
      <w:r w:rsidRPr="00751B2C">
        <w:t xml:space="preserve">, </w:t>
      </w:r>
      <w:r w:rsidRPr="00751B2C">
        <w:rPr>
          <w:i/>
          <w:iCs/>
        </w:rPr>
        <w:t>op.cit</w:t>
      </w:r>
      <w:r w:rsidRPr="00751B2C">
        <w:t>.</w:t>
      </w:r>
    </w:p>
  </w:footnote>
  <w:footnote w:id="4">
    <w:p w14:paraId="09C4B60D" w14:textId="5B29C799" w:rsidR="005B5F69" w:rsidRPr="00751B2C" w:rsidRDefault="005B5F69">
      <w:pPr>
        <w:pStyle w:val="Footnote0"/>
        <w:shd w:val="clear" w:color="auto" w:fill="auto"/>
        <w:tabs>
          <w:tab w:val="left" w:pos="101"/>
        </w:tabs>
      </w:pPr>
      <w:r w:rsidRPr="00751B2C">
        <w:rPr>
          <w:vertAlign w:val="superscript"/>
        </w:rPr>
        <w:footnoteRef/>
      </w:r>
      <w:r w:rsidRPr="00751B2C">
        <w:rPr>
          <w:color w:val="000000"/>
        </w:rPr>
        <w:tab/>
      </w:r>
      <w:r>
        <w:t>Zajednička deklaracija o političarima i javnim zvaničnicima i slobodi izražavanja</w:t>
      </w:r>
      <w:r w:rsidR="00FA162F">
        <w:t xml:space="preserve"> iz 2021. godine</w:t>
      </w:r>
      <w:r w:rsidRPr="00751B2C">
        <w:t>, 2.a.ii.</w:t>
      </w:r>
    </w:p>
  </w:footnote>
  <w:footnote w:id="5">
    <w:p w14:paraId="5A88D787" w14:textId="77777777" w:rsidR="005B5F69" w:rsidRPr="00751B2C" w:rsidRDefault="005B5F69">
      <w:pPr>
        <w:pStyle w:val="Footnote0"/>
        <w:shd w:val="clear" w:color="auto" w:fill="auto"/>
        <w:tabs>
          <w:tab w:val="left" w:pos="101"/>
        </w:tabs>
        <w:jc w:val="both"/>
      </w:pPr>
      <w:r w:rsidRPr="00751B2C">
        <w:rPr>
          <w:vertAlign w:val="superscript"/>
        </w:rPr>
        <w:footnoteRef/>
      </w:r>
      <w:r w:rsidRPr="00751B2C">
        <w:rPr>
          <w:color w:val="000000"/>
        </w:rPr>
        <w:tab/>
      </w:r>
      <w:r>
        <w:rPr>
          <w:i/>
          <w:iCs/>
        </w:rPr>
        <w:t>Videti</w:t>
      </w:r>
      <w:r w:rsidRPr="00751B2C">
        <w:t xml:space="preserve"> </w:t>
      </w:r>
      <w:r>
        <w:t>Zajednička deklaracija o zločinima protiv slobodne izražavanja mišljenja</w:t>
      </w:r>
      <w:r w:rsidRPr="00751B2C">
        <w:t xml:space="preserve">, </w:t>
      </w:r>
      <w:r>
        <w:t xml:space="preserve">Specijalni izvestilac UN o slobodi izražavanja mišljenja, </w:t>
      </w:r>
      <w:r w:rsidR="003B19F9">
        <w:t>p</w:t>
      </w:r>
      <w:r>
        <w:t>redstavnik za slobodu medija Organizacije za evropsku slobodu i bezbednost</w:t>
      </w:r>
      <w:r w:rsidRPr="00751B2C">
        <w:t xml:space="preserve"> (</w:t>
      </w:r>
      <w:r>
        <w:t>OEBS</w:t>
      </w:r>
      <w:r w:rsidRPr="00751B2C">
        <w:t xml:space="preserve">), </w:t>
      </w:r>
      <w:r w:rsidR="003B19F9">
        <w:t>s</w:t>
      </w:r>
      <w:r>
        <w:t>pecijalni izvestilac za slobodu izražavanja</w:t>
      </w:r>
      <w:r w:rsidRPr="00751B2C">
        <w:t xml:space="preserve"> </w:t>
      </w:r>
      <w:r>
        <w:t>Organizacije američkih država</w:t>
      </w:r>
      <w:r w:rsidRPr="00751B2C">
        <w:t xml:space="preserve"> (OAS) </w:t>
      </w:r>
      <w:r>
        <w:t xml:space="preserve">i </w:t>
      </w:r>
      <w:r w:rsidR="003B19F9">
        <w:t>s</w:t>
      </w:r>
      <w:r>
        <w:t>pecijalni izvestilac za slobodu izražavanja</w:t>
      </w:r>
      <w:r w:rsidRPr="00751B2C">
        <w:t xml:space="preserve"> </w:t>
      </w:r>
      <w:r>
        <w:t xml:space="preserve">i pristup informacijama </w:t>
      </w:r>
      <w:r w:rsidRPr="002219B0">
        <w:t>Afričk</w:t>
      </w:r>
      <w:r>
        <w:t>e</w:t>
      </w:r>
      <w:r w:rsidRPr="002219B0">
        <w:t xml:space="preserve"> komisij</w:t>
      </w:r>
      <w:r>
        <w:t>e</w:t>
      </w:r>
      <w:r w:rsidRPr="002219B0">
        <w:t xml:space="preserve"> za ljudska prava i prava naroda</w:t>
      </w:r>
      <w:r w:rsidRPr="00751B2C">
        <w:t xml:space="preserve"> (ACHPR), 2012; </w:t>
      </w:r>
      <w:r>
        <w:rPr>
          <w:i/>
          <w:iCs/>
        </w:rPr>
        <w:t xml:space="preserve">Videti </w:t>
      </w:r>
      <w:r>
        <w:t>Opšti komentar</w:t>
      </w:r>
      <w:r w:rsidRPr="00751B2C">
        <w:t xml:space="preserve"> </w:t>
      </w:r>
      <w:r>
        <w:t>br</w:t>
      </w:r>
      <w:r w:rsidRPr="00751B2C">
        <w:t xml:space="preserve">. 24, </w:t>
      </w:r>
      <w:r w:rsidRPr="00751B2C">
        <w:rPr>
          <w:i/>
          <w:iCs/>
        </w:rPr>
        <w:t>op. cit.,</w:t>
      </w:r>
      <w:r w:rsidRPr="00751B2C">
        <w:t xml:space="preserve"> </w:t>
      </w:r>
      <w:r>
        <w:t>stav</w:t>
      </w:r>
      <w:r w:rsidRPr="00751B2C">
        <w:t xml:space="preserve"> 23.</w:t>
      </w:r>
    </w:p>
  </w:footnote>
  <w:footnote w:id="6">
    <w:p w14:paraId="4EC148D5" w14:textId="77777777" w:rsidR="0011128C" w:rsidRPr="0011128C" w:rsidRDefault="0011128C">
      <w:pPr>
        <w:pStyle w:val="FootnoteText"/>
        <w:rPr>
          <w:rFonts w:ascii="Calibri" w:eastAsia="Calibri" w:hAnsi="Calibri" w:cs="Calibri"/>
          <w:color w:val="00000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26A0D">
        <w:rPr>
          <w:rFonts w:ascii="Calibri" w:eastAsia="Calibri" w:hAnsi="Calibri" w:cs="Calibri"/>
          <w:color w:val="00000A"/>
          <w:sz w:val="18"/>
          <w:szCs w:val="18"/>
        </w:rPr>
        <w:t xml:space="preserve">Na </w:t>
      </w:r>
      <w:r w:rsidR="00B26A0D">
        <w:rPr>
          <w:rFonts w:ascii="Calibri" w:eastAsia="Calibri" w:hAnsi="Calibri" w:cs="Calibri"/>
          <w:color w:val="00000A"/>
          <w:sz w:val="18"/>
          <w:szCs w:val="18"/>
        </w:rPr>
        <w:t>primer, u slučaju</w:t>
      </w:r>
      <w:r w:rsidRPr="0011128C">
        <w:rPr>
          <w:rFonts w:ascii="Calibri" w:eastAsia="Calibri" w:hAnsi="Calibri" w:cs="Calibri"/>
          <w:color w:val="00000A"/>
          <w:sz w:val="18"/>
          <w:szCs w:val="18"/>
        </w:rPr>
        <w:t xml:space="preserve"> </w:t>
      </w:r>
      <w:r w:rsidRPr="001B143B">
        <w:rPr>
          <w:rFonts w:ascii="Calibri" w:eastAsia="Calibri" w:hAnsi="Calibri" w:cs="Calibri"/>
          <w:i/>
          <w:color w:val="00000A"/>
          <w:sz w:val="18"/>
          <w:szCs w:val="18"/>
        </w:rPr>
        <w:t>Sokolowski</w:t>
      </w:r>
      <w:r w:rsidRPr="0011128C">
        <w:rPr>
          <w:rFonts w:ascii="Calibri" w:eastAsia="Calibri" w:hAnsi="Calibri" w:cs="Calibri"/>
          <w:color w:val="00000A"/>
          <w:sz w:val="18"/>
          <w:szCs w:val="18"/>
        </w:rPr>
        <w:t xml:space="preserve"> </w:t>
      </w:r>
      <w:r w:rsidR="00B26A0D">
        <w:rPr>
          <w:rFonts w:ascii="Calibri" w:eastAsia="Calibri" w:hAnsi="Calibri" w:cs="Calibri"/>
          <w:color w:val="00000A"/>
          <w:sz w:val="18"/>
          <w:szCs w:val="18"/>
        </w:rPr>
        <w:t>protiv</w:t>
      </w:r>
      <w:r w:rsidRPr="0011128C">
        <w:rPr>
          <w:rFonts w:ascii="Calibri" w:eastAsia="Calibri" w:hAnsi="Calibri" w:cs="Calibri"/>
          <w:color w:val="00000A"/>
          <w:sz w:val="18"/>
          <w:szCs w:val="18"/>
        </w:rPr>
        <w:t xml:space="preserve"> </w:t>
      </w:r>
      <w:r w:rsidR="00B26A0D">
        <w:rPr>
          <w:rFonts w:ascii="Calibri" w:eastAsia="Calibri" w:hAnsi="Calibri" w:cs="Calibri"/>
          <w:color w:val="00000A"/>
          <w:sz w:val="18"/>
          <w:szCs w:val="18"/>
        </w:rPr>
        <w:t>Poljske, Evropski sud je mora</w:t>
      </w:r>
      <w:r w:rsidR="00D60457">
        <w:rPr>
          <w:rFonts w:ascii="Calibri" w:eastAsia="Calibri" w:hAnsi="Calibri" w:cs="Calibri"/>
          <w:color w:val="00000A"/>
          <w:sz w:val="18"/>
          <w:szCs w:val="18"/>
        </w:rPr>
        <w:t>o da razmotri efekat izjave da je lokalni opštinski funkcioner „</w:t>
      </w:r>
      <w:r w:rsidR="00BE3BA4">
        <w:rPr>
          <w:rFonts w:ascii="Calibri" w:eastAsia="Calibri" w:hAnsi="Calibri" w:cs="Calibri"/>
          <w:color w:val="00000A"/>
          <w:sz w:val="18"/>
          <w:szCs w:val="18"/>
        </w:rPr>
        <w:t xml:space="preserve">kada je sebe postavio na plaćeni položaj u lokalnom izbornom odboru na taj način </w:t>
      </w:r>
      <w:r w:rsidR="00D60457">
        <w:rPr>
          <w:rFonts w:ascii="Calibri" w:eastAsia="Calibri" w:hAnsi="Calibri" w:cs="Calibri"/>
          <w:color w:val="00000A"/>
          <w:sz w:val="18"/>
          <w:szCs w:val="18"/>
        </w:rPr>
        <w:t>uzimao novac od lokalnih stanovnika</w:t>
      </w:r>
      <w:r w:rsidRPr="003D4668">
        <w:rPr>
          <w:rFonts w:ascii="Calibri" w:eastAsia="Calibri" w:hAnsi="Calibri" w:cs="Calibri"/>
          <w:color w:val="00000A"/>
          <w:sz w:val="18"/>
          <w:szCs w:val="18"/>
        </w:rPr>
        <w:t xml:space="preserve">. </w:t>
      </w:r>
      <w:r w:rsidR="003D4668" w:rsidRPr="003D4668">
        <w:rPr>
          <w:rFonts w:ascii="Calibri" w:eastAsia="Calibri" w:hAnsi="Calibri" w:cs="Calibri"/>
          <w:color w:val="00000A"/>
          <w:sz w:val="18"/>
          <w:szCs w:val="18"/>
        </w:rPr>
        <w:t xml:space="preserve">Utvrdivši da izjava predstavlja zaštićeno izražavanje mišljenja pre nego činjeničnu tvrdnju, Sud je utvrdio da </w:t>
      </w:r>
      <w:r w:rsidR="00092EAA">
        <w:rPr>
          <w:rFonts w:ascii="Calibri" w:eastAsia="Calibri" w:hAnsi="Calibri" w:cs="Calibri"/>
          <w:color w:val="00000A"/>
          <w:sz w:val="18"/>
          <w:szCs w:val="18"/>
        </w:rPr>
        <w:t>se</w:t>
      </w:r>
      <w:r w:rsidR="00092EAA" w:rsidRPr="003D4668">
        <w:rPr>
          <w:rFonts w:ascii="Calibri" w:eastAsia="Calibri" w:hAnsi="Calibri" w:cs="Calibri"/>
          <w:color w:val="00000A"/>
          <w:sz w:val="18"/>
          <w:szCs w:val="18"/>
        </w:rPr>
        <w:t xml:space="preserve"> </w:t>
      </w:r>
      <w:r w:rsidR="003D4668" w:rsidRPr="003D4668">
        <w:rPr>
          <w:rFonts w:ascii="Calibri" w:eastAsia="Calibri" w:hAnsi="Calibri" w:cs="Calibri"/>
          <w:color w:val="00000A"/>
          <w:sz w:val="18"/>
          <w:szCs w:val="18"/>
        </w:rPr>
        <w:t>„</w:t>
      </w:r>
      <w:r w:rsidR="003D4668">
        <w:rPr>
          <w:rFonts w:ascii="Calibri" w:eastAsia="Calibri" w:hAnsi="Calibri" w:cs="Calibri"/>
          <w:color w:val="00000A"/>
          <w:sz w:val="18"/>
          <w:szCs w:val="18"/>
        </w:rPr>
        <w:t>ozbiljna optužba za krađu ne može</w:t>
      </w:r>
      <w:r w:rsidRPr="003D4668">
        <w:rPr>
          <w:rFonts w:ascii="Calibri" w:eastAsia="Calibri" w:hAnsi="Calibri" w:cs="Calibri"/>
          <w:color w:val="00000A"/>
          <w:sz w:val="18"/>
          <w:szCs w:val="18"/>
        </w:rPr>
        <w:t>...</w:t>
      </w:r>
      <w:r w:rsidR="003D4668">
        <w:rPr>
          <w:rFonts w:ascii="Calibri" w:eastAsia="Calibri" w:hAnsi="Calibri" w:cs="Calibri"/>
          <w:color w:val="00000A"/>
          <w:sz w:val="18"/>
          <w:szCs w:val="18"/>
        </w:rPr>
        <w:t>opravdano iščitati iz takve tvrdnje</w:t>
      </w:r>
      <w:r w:rsidR="00CE4EB1">
        <w:rPr>
          <w:rFonts w:ascii="Calibri" w:eastAsia="Calibri" w:hAnsi="Calibri" w:cs="Calibri"/>
          <w:color w:val="00000A"/>
          <w:sz w:val="18"/>
          <w:szCs w:val="18"/>
        </w:rPr>
        <w:t>“</w:t>
      </w:r>
      <w:r w:rsidRPr="003D4668">
        <w:rPr>
          <w:rFonts w:ascii="Calibri" w:eastAsia="Calibri" w:hAnsi="Calibri" w:cs="Calibri"/>
          <w:color w:val="00000A"/>
          <w:sz w:val="18"/>
          <w:szCs w:val="18"/>
        </w:rPr>
        <w:t xml:space="preserve">. </w:t>
      </w:r>
      <w:r w:rsidR="003D4668">
        <w:rPr>
          <w:rFonts w:ascii="Calibri" w:eastAsia="Calibri" w:hAnsi="Calibri" w:cs="Calibri"/>
          <w:color w:val="00000A"/>
          <w:sz w:val="18"/>
          <w:szCs w:val="18"/>
        </w:rPr>
        <w:t>Videti</w:t>
      </w:r>
      <w:r w:rsidRPr="003D4668">
        <w:rPr>
          <w:rFonts w:ascii="Calibri" w:eastAsia="Calibri" w:hAnsi="Calibri" w:cs="Calibri"/>
          <w:color w:val="00000A"/>
          <w:sz w:val="18"/>
          <w:szCs w:val="18"/>
        </w:rPr>
        <w:t xml:space="preserve"> </w:t>
      </w:r>
      <w:r w:rsidRPr="00B53BB8">
        <w:rPr>
          <w:rFonts w:ascii="Calibri" w:eastAsia="Calibri" w:hAnsi="Calibri" w:cs="Calibri"/>
          <w:i/>
          <w:color w:val="00000A"/>
          <w:sz w:val="18"/>
          <w:szCs w:val="18"/>
        </w:rPr>
        <w:t>Sokolowski</w:t>
      </w:r>
      <w:r w:rsidRPr="003D4668">
        <w:rPr>
          <w:rFonts w:ascii="Calibri" w:eastAsia="Calibri" w:hAnsi="Calibri" w:cs="Calibri"/>
          <w:color w:val="00000A"/>
          <w:sz w:val="18"/>
          <w:szCs w:val="18"/>
        </w:rPr>
        <w:t xml:space="preserve"> </w:t>
      </w:r>
      <w:r w:rsidR="00B53BB8">
        <w:rPr>
          <w:rFonts w:ascii="Calibri" w:eastAsia="Calibri" w:hAnsi="Calibri" w:cs="Calibri"/>
          <w:color w:val="00000A"/>
          <w:sz w:val="18"/>
          <w:szCs w:val="18"/>
        </w:rPr>
        <w:t>protiv Poljske</w:t>
      </w:r>
      <w:r w:rsidRPr="003D4668">
        <w:rPr>
          <w:rFonts w:ascii="Calibri" w:eastAsia="Calibri" w:hAnsi="Calibri" w:cs="Calibri"/>
          <w:color w:val="00000A"/>
          <w:sz w:val="18"/>
          <w:szCs w:val="18"/>
        </w:rPr>
        <w:t xml:space="preserve">, </w:t>
      </w:r>
      <w:r w:rsidR="00B53BB8">
        <w:rPr>
          <w:rFonts w:ascii="Calibri" w:eastAsia="Calibri" w:hAnsi="Calibri" w:cs="Calibri"/>
          <w:color w:val="00000A"/>
          <w:sz w:val="18"/>
          <w:szCs w:val="18"/>
        </w:rPr>
        <w:t>29. mart</w:t>
      </w:r>
      <w:r w:rsidRPr="003D4668">
        <w:rPr>
          <w:rFonts w:ascii="Calibri" w:eastAsia="Calibri" w:hAnsi="Calibri" w:cs="Calibri"/>
          <w:color w:val="00000A"/>
          <w:sz w:val="18"/>
          <w:szCs w:val="18"/>
        </w:rPr>
        <w:t xml:space="preserve"> 2005, </w:t>
      </w:r>
      <w:r w:rsidR="00B53BB8">
        <w:rPr>
          <w:rFonts w:ascii="Calibri" w:eastAsia="Calibri" w:hAnsi="Calibri" w:cs="Calibri"/>
          <w:color w:val="00000A"/>
          <w:sz w:val="18"/>
          <w:szCs w:val="18"/>
        </w:rPr>
        <w:t>predstavka br</w:t>
      </w:r>
      <w:r w:rsidRPr="003D4668">
        <w:rPr>
          <w:rFonts w:ascii="Calibri" w:eastAsia="Calibri" w:hAnsi="Calibri" w:cs="Calibri"/>
          <w:color w:val="00000A"/>
          <w:sz w:val="18"/>
          <w:szCs w:val="18"/>
        </w:rPr>
        <w:t xml:space="preserve">. 75955/01, </w:t>
      </w:r>
      <w:r w:rsidR="00B53BB8">
        <w:rPr>
          <w:rFonts w:ascii="Calibri" w:eastAsia="Calibri" w:hAnsi="Calibri" w:cs="Calibri"/>
          <w:color w:val="00000A"/>
          <w:sz w:val="18"/>
          <w:szCs w:val="18"/>
        </w:rPr>
        <w:t>st.</w:t>
      </w:r>
      <w:r w:rsidRPr="003D4668">
        <w:rPr>
          <w:rFonts w:ascii="Calibri" w:eastAsia="Calibri" w:hAnsi="Calibri" w:cs="Calibri"/>
          <w:color w:val="00000A"/>
          <w:sz w:val="18"/>
          <w:szCs w:val="18"/>
        </w:rPr>
        <w:t xml:space="preserve"> 48.</w:t>
      </w:r>
    </w:p>
  </w:footnote>
  <w:footnote w:id="7">
    <w:p w14:paraId="6813F7B5" w14:textId="77777777" w:rsidR="0011128C" w:rsidRDefault="0011128C" w:rsidP="0011128C">
      <w:pPr>
        <w:pStyle w:val="Footnote0"/>
        <w:shd w:val="clear" w:color="auto" w:fill="auto"/>
        <w:tabs>
          <w:tab w:val="left" w:pos="101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Pr="005A238C">
        <w:rPr>
          <w:i/>
        </w:rPr>
        <w:t>Thorgeirson</w:t>
      </w:r>
      <w:r w:rsidRPr="0011128C">
        <w:t xml:space="preserve"> </w:t>
      </w:r>
      <w:r w:rsidR="002C4F9D">
        <w:t>protiv</w:t>
      </w:r>
      <w:r w:rsidRPr="0011128C">
        <w:t xml:space="preserve"> </w:t>
      </w:r>
      <w:r w:rsidR="002C4F9D">
        <w:t>Islanda</w:t>
      </w:r>
      <w:r w:rsidRPr="0011128C">
        <w:t xml:space="preserve">, </w:t>
      </w:r>
      <w:r w:rsidR="002C4F9D">
        <w:t>predstavka</w:t>
      </w:r>
      <w:r w:rsidRPr="0011128C">
        <w:t xml:space="preserve"> </w:t>
      </w:r>
      <w:r w:rsidR="002C4F9D">
        <w:t>br</w:t>
      </w:r>
      <w:r w:rsidRPr="0011128C">
        <w:t>. 13778/88, 25</w:t>
      </w:r>
      <w:r w:rsidR="002C4F9D">
        <w:t>. jun</w:t>
      </w:r>
      <w:r w:rsidRPr="0011128C">
        <w:t xml:space="preserve"> 1992, </w:t>
      </w:r>
      <w:r w:rsidR="002C4F9D">
        <w:t>st.</w:t>
      </w:r>
      <w:r w:rsidRPr="0011128C">
        <w:t xml:space="preserve"> 14-15.</w:t>
      </w:r>
    </w:p>
  </w:footnote>
  <w:footnote w:id="8">
    <w:p w14:paraId="6112BCE9" w14:textId="77777777" w:rsidR="0011128C" w:rsidRDefault="0011128C" w:rsidP="0011128C">
      <w:pPr>
        <w:pStyle w:val="Footnote0"/>
        <w:shd w:val="clear" w:color="auto" w:fill="auto"/>
        <w:tabs>
          <w:tab w:val="left" w:pos="101"/>
        </w:tabs>
        <w:jc w:val="both"/>
      </w:pPr>
      <w:r w:rsidRPr="0011128C">
        <w:footnoteRef/>
      </w:r>
      <w:r>
        <w:t xml:space="preserve"> </w:t>
      </w:r>
      <w:r w:rsidR="002C4F9D">
        <w:t>Npr. pogledati</w:t>
      </w:r>
      <w:r w:rsidRPr="0011128C">
        <w:t xml:space="preserve"> </w:t>
      </w:r>
      <w:r w:rsidRPr="002C4F9D">
        <w:rPr>
          <w:i/>
        </w:rPr>
        <w:t>ARTICLE 19</w:t>
      </w:r>
      <w:r w:rsidRPr="0011128C">
        <w:t xml:space="preserve">, </w:t>
      </w:r>
      <w:r w:rsidR="002C4F9D">
        <w:t>definisanje klevete</w:t>
      </w:r>
      <w:r w:rsidRPr="0011128C">
        <w:t xml:space="preserve">: </w:t>
      </w:r>
      <w:r w:rsidR="002C4F9D">
        <w:t>principi slobode izražavanja i zaštite ugleda</w:t>
      </w:r>
      <w:r w:rsidRPr="0011128C">
        <w:t>, 2017.</w:t>
      </w:r>
      <w:r w:rsidR="002C4F9D">
        <w:t xml:space="preserve"> godine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F28"/>
    <w:multiLevelType w:val="multilevel"/>
    <w:tmpl w:val="4E8CA392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9D21B8"/>
    <w:multiLevelType w:val="multilevel"/>
    <w:tmpl w:val="7C5EC4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BE2E9E"/>
    <w:multiLevelType w:val="multilevel"/>
    <w:tmpl w:val="3CBC6FA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9"/>
    <w:rsid w:val="00000E05"/>
    <w:rsid w:val="0002090D"/>
    <w:rsid w:val="00020ACC"/>
    <w:rsid w:val="000212D7"/>
    <w:rsid w:val="000470F7"/>
    <w:rsid w:val="00051FAF"/>
    <w:rsid w:val="00066AC9"/>
    <w:rsid w:val="00092EAA"/>
    <w:rsid w:val="000965AB"/>
    <w:rsid w:val="000D7908"/>
    <w:rsid w:val="000F3697"/>
    <w:rsid w:val="0010380E"/>
    <w:rsid w:val="0010462F"/>
    <w:rsid w:val="0011128C"/>
    <w:rsid w:val="001265E8"/>
    <w:rsid w:val="001519EB"/>
    <w:rsid w:val="001557B1"/>
    <w:rsid w:val="001A7E88"/>
    <w:rsid w:val="001B143B"/>
    <w:rsid w:val="001B2A44"/>
    <w:rsid w:val="001F6AE2"/>
    <w:rsid w:val="002219B0"/>
    <w:rsid w:val="00230263"/>
    <w:rsid w:val="002311CA"/>
    <w:rsid w:val="002415C3"/>
    <w:rsid w:val="00256398"/>
    <w:rsid w:val="00257A64"/>
    <w:rsid w:val="0027125F"/>
    <w:rsid w:val="00277E7E"/>
    <w:rsid w:val="00292713"/>
    <w:rsid w:val="002A2393"/>
    <w:rsid w:val="002B70A6"/>
    <w:rsid w:val="002C4F9D"/>
    <w:rsid w:val="002D4FCD"/>
    <w:rsid w:val="002F25F0"/>
    <w:rsid w:val="00332A80"/>
    <w:rsid w:val="003A3793"/>
    <w:rsid w:val="003B19F9"/>
    <w:rsid w:val="003D151C"/>
    <w:rsid w:val="003D4668"/>
    <w:rsid w:val="00406D0D"/>
    <w:rsid w:val="00417642"/>
    <w:rsid w:val="00432B43"/>
    <w:rsid w:val="00446751"/>
    <w:rsid w:val="00461B62"/>
    <w:rsid w:val="00496BC4"/>
    <w:rsid w:val="004B0636"/>
    <w:rsid w:val="004D0B29"/>
    <w:rsid w:val="004D29A3"/>
    <w:rsid w:val="004E5473"/>
    <w:rsid w:val="004F00F6"/>
    <w:rsid w:val="00501275"/>
    <w:rsid w:val="005227A8"/>
    <w:rsid w:val="005317E9"/>
    <w:rsid w:val="00542591"/>
    <w:rsid w:val="005427A7"/>
    <w:rsid w:val="0057604C"/>
    <w:rsid w:val="005A238C"/>
    <w:rsid w:val="005B5F69"/>
    <w:rsid w:val="005C342E"/>
    <w:rsid w:val="005D0879"/>
    <w:rsid w:val="00614E69"/>
    <w:rsid w:val="00665962"/>
    <w:rsid w:val="00681C70"/>
    <w:rsid w:val="006B23B7"/>
    <w:rsid w:val="006C60E3"/>
    <w:rsid w:val="006E6978"/>
    <w:rsid w:val="00747CE5"/>
    <w:rsid w:val="00751B2C"/>
    <w:rsid w:val="0075420A"/>
    <w:rsid w:val="00784688"/>
    <w:rsid w:val="007A424C"/>
    <w:rsid w:val="007D6C7C"/>
    <w:rsid w:val="007E2465"/>
    <w:rsid w:val="007F46B2"/>
    <w:rsid w:val="008130F7"/>
    <w:rsid w:val="00834029"/>
    <w:rsid w:val="00843449"/>
    <w:rsid w:val="008777B7"/>
    <w:rsid w:val="0088716A"/>
    <w:rsid w:val="008F1625"/>
    <w:rsid w:val="00905ADA"/>
    <w:rsid w:val="0091127B"/>
    <w:rsid w:val="00934412"/>
    <w:rsid w:val="009436A7"/>
    <w:rsid w:val="009A42CB"/>
    <w:rsid w:val="00A0395D"/>
    <w:rsid w:val="00A62D7A"/>
    <w:rsid w:val="00A86093"/>
    <w:rsid w:val="00A865F5"/>
    <w:rsid w:val="00AC0A0D"/>
    <w:rsid w:val="00AC4CA0"/>
    <w:rsid w:val="00AF139A"/>
    <w:rsid w:val="00AF517D"/>
    <w:rsid w:val="00B150A7"/>
    <w:rsid w:val="00B16008"/>
    <w:rsid w:val="00B26A0D"/>
    <w:rsid w:val="00B36003"/>
    <w:rsid w:val="00B46ACD"/>
    <w:rsid w:val="00B53BB8"/>
    <w:rsid w:val="00B5726D"/>
    <w:rsid w:val="00B80AA3"/>
    <w:rsid w:val="00B93CDE"/>
    <w:rsid w:val="00BC5DC1"/>
    <w:rsid w:val="00BD5B2E"/>
    <w:rsid w:val="00BD69D4"/>
    <w:rsid w:val="00BE3BA4"/>
    <w:rsid w:val="00BF2E7A"/>
    <w:rsid w:val="00BF56E9"/>
    <w:rsid w:val="00C1162C"/>
    <w:rsid w:val="00C60BE2"/>
    <w:rsid w:val="00C86009"/>
    <w:rsid w:val="00CC3AB4"/>
    <w:rsid w:val="00CE0A7B"/>
    <w:rsid w:val="00CE4EB1"/>
    <w:rsid w:val="00CF3CF8"/>
    <w:rsid w:val="00D155B7"/>
    <w:rsid w:val="00D24A94"/>
    <w:rsid w:val="00D27FC8"/>
    <w:rsid w:val="00D523E4"/>
    <w:rsid w:val="00D60457"/>
    <w:rsid w:val="00D82A06"/>
    <w:rsid w:val="00DB6F3A"/>
    <w:rsid w:val="00DD26DA"/>
    <w:rsid w:val="00E111C6"/>
    <w:rsid w:val="00E13492"/>
    <w:rsid w:val="00EB3DEC"/>
    <w:rsid w:val="00EB56F8"/>
    <w:rsid w:val="00EB636C"/>
    <w:rsid w:val="00ED4195"/>
    <w:rsid w:val="00EF0A23"/>
    <w:rsid w:val="00F54C93"/>
    <w:rsid w:val="00F705C5"/>
    <w:rsid w:val="00F87329"/>
    <w:rsid w:val="00FA162F"/>
    <w:rsid w:val="00FB31AE"/>
    <w:rsid w:val="00FE277D"/>
    <w:rsid w:val="00FE322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4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A"/>
      <w:sz w:val="18"/>
      <w:szCs w:val="1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/>
      <w:iCs/>
      <w:smallCaps w:val="0"/>
      <w:strike w:val="0"/>
      <w:color w:val="00000A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A"/>
      <w:sz w:val="18"/>
      <w:szCs w:val="18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8"/>
      <w:szCs w:val="18"/>
      <w:u w:val="single"/>
    </w:rPr>
  </w:style>
  <w:style w:type="paragraph" w:customStyle="1" w:styleId="Footnote0">
    <w:name w:val="Footnote"/>
    <w:basedOn w:val="Normal"/>
    <w:link w:val="Footnote"/>
    <w:pPr>
      <w:shd w:val="clear" w:color="auto" w:fill="FFFFFF"/>
    </w:pPr>
    <w:rPr>
      <w:rFonts w:ascii="Calibri" w:eastAsia="Calibri" w:hAnsi="Calibri" w:cs="Calibri"/>
      <w:color w:val="00000A"/>
      <w:sz w:val="18"/>
      <w:szCs w:val="18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Calibri" w:eastAsia="Calibri" w:hAnsi="Calibri" w:cs="Calibri"/>
      <w:b/>
      <w:bCs/>
      <w:i/>
      <w:iCs/>
      <w:color w:val="00000A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Calibri" w:eastAsia="Calibri" w:hAnsi="Calibri" w:cs="Calibri"/>
      <w:color w:val="00000A"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Calibri" w:eastAsia="Calibri" w:hAnsi="Calibri" w:cs="Calibri"/>
      <w:color w:val="0000FF"/>
      <w:sz w:val="18"/>
      <w:szCs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28C"/>
    <w:rPr>
      <w:color w:val="000000"/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1112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6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98"/>
    <w:rPr>
      <w:color w:val="000000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56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98"/>
    <w:rPr>
      <w:color w:val="000000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1A7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E88"/>
    <w:rPr>
      <w:color w:val="000000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E88"/>
    <w:rPr>
      <w:b/>
      <w:bCs/>
      <w:color w:val="000000"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88"/>
    <w:rPr>
      <w:rFonts w:ascii="Segoe UI" w:hAnsi="Segoe UI" w:cs="Segoe UI"/>
      <w:color w:val="000000"/>
      <w:sz w:val="18"/>
      <w:szCs w:val="18"/>
      <w:lang w:val="sr-Latn-RS"/>
    </w:rPr>
  </w:style>
  <w:style w:type="paragraph" w:customStyle="1" w:styleId="Default">
    <w:name w:val="Default"/>
    <w:rsid w:val="001A7E8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A"/>
      <w:sz w:val="18"/>
      <w:szCs w:val="1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/>
      <w:iCs/>
      <w:smallCaps w:val="0"/>
      <w:strike w:val="0"/>
      <w:color w:val="00000A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A"/>
      <w:sz w:val="18"/>
      <w:szCs w:val="18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18"/>
      <w:szCs w:val="18"/>
      <w:u w:val="single"/>
    </w:rPr>
  </w:style>
  <w:style w:type="paragraph" w:customStyle="1" w:styleId="Footnote0">
    <w:name w:val="Footnote"/>
    <w:basedOn w:val="Normal"/>
    <w:link w:val="Footnote"/>
    <w:pPr>
      <w:shd w:val="clear" w:color="auto" w:fill="FFFFFF"/>
    </w:pPr>
    <w:rPr>
      <w:rFonts w:ascii="Calibri" w:eastAsia="Calibri" w:hAnsi="Calibri" w:cs="Calibri"/>
      <w:color w:val="00000A"/>
      <w:sz w:val="18"/>
      <w:szCs w:val="18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Calibri" w:eastAsia="Calibri" w:hAnsi="Calibri" w:cs="Calibri"/>
      <w:b/>
      <w:bCs/>
      <w:i/>
      <w:iCs/>
      <w:color w:val="00000A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Calibri" w:eastAsia="Calibri" w:hAnsi="Calibri" w:cs="Calibri"/>
      <w:color w:val="00000A"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Calibri" w:eastAsia="Calibri" w:hAnsi="Calibri" w:cs="Calibri"/>
      <w:color w:val="0000FF"/>
      <w:sz w:val="18"/>
      <w:szCs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28C"/>
    <w:rPr>
      <w:color w:val="000000"/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1112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6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98"/>
    <w:rPr>
      <w:color w:val="000000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56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98"/>
    <w:rPr>
      <w:color w:val="000000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1A7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E88"/>
    <w:rPr>
      <w:color w:val="000000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E88"/>
    <w:rPr>
      <w:b/>
      <w:bCs/>
      <w:color w:val="000000"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88"/>
    <w:rPr>
      <w:rFonts w:ascii="Segoe UI" w:hAnsi="Segoe UI" w:cs="Segoe UI"/>
      <w:color w:val="000000"/>
      <w:sz w:val="18"/>
      <w:szCs w:val="18"/>
      <w:lang w:val="sr-Latn-RS"/>
    </w:rPr>
  </w:style>
  <w:style w:type="paragraph" w:customStyle="1" w:styleId="Default">
    <w:name w:val="Default"/>
    <w:rsid w:val="001A7E8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rr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7DC2-3BA1-4013-A85D-35782BD2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Министарство за европске интеграције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02</dc:creator>
  <cp:lastModifiedBy>Tamara</cp:lastModifiedBy>
  <cp:revision>2</cp:revision>
  <dcterms:created xsi:type="dcterms:W3CDTF">2022-02-17T11:46:00Z</dcterms:created>
  <dcterms:modified xsi:type="dcterms:W3CDTF">2022-02-17T11:46:00Z</dcterms:modified>
</cp:coreProperties>
</file>